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48E46" w14:textId="77777777" w:rsidR="00790DE8" w:rsidRPr="004E1E9D" w:rsidRDefault="00790DE8" w:rsidP="00D47952">
      <w:pPr>
        <w:spacing w:line="40" w:lineRule="exact"/>
        <w:rPr>
          <w:sz w:val="18"/>
          <w:szCs w:val="18"/>
        </w:rPr>
      </w:pPr>
    </w:p>
    <w:p w14:paraId="3073094B" w14:textId="77777777" w:rsidR="00790DE8" w:rsidRDefault="00790DE8">
      <w:pPr>
        <w:sectPr w:rsidR="00790DE8" w:rsidSect="005F501F">
          <w:headerReference w:type="default" r:id="rId8"/>
          <w:type w:val="continuous"/>
          <w:pgSz w:w="12240" w:h="15840" w:code="1"/>
          <w:pgMar w:top="2347" w:right="1440" w:bottom="1440" w:left="1440" w:header="720" w:footer="720" w:gutter="0"/>
          <w:cols w:space="720"/>
        </w:sectPr>
      </w:pPr>
    </w:p>
    <w:p w14:paraId="17F95D1D" w14:textId="681850B9" w:rsidR="004F2CCF" w:rsidRPr="00427E48" w:rsidRDefault="001C7852" w:rsidP="00E12272">
      <w:pPr>
        <w:tabs>
          <w:tab w:val="left" w:pos="1170"/>
        </w:tabs>
        <w:rPr>
          <w:sz w:val="24"/>
          <w:szCs w:val="24"/>
        </w:rPr>
      </w:pPr>
      <w:r w:rsidRPr="00427E48">
        <w:rPr>
          <w:b/>
          <w:sz w:val="24"/>
          <w:szCs w:val="24"/>
        </w:rPr>
        <w:t>TO</w:t>
      </w:r>
      <w:r w:rsidR="00790DE8" w:rsidRPr="00427E48">
        <w:rPr>
          <w:b/>
          <w:sz w:val="24"/>
          <w:szCs w:val="24"/>
        </w:rPr>
        <w:t>:</w:t>
      </w:r>
      <w:r w:rsidR="00790DE8" w:rsidRPr="00427E48">
        <w:rPr>
          <w:sz w:val="24"/>
          <w:szCs w:val="24"/>
        </w:rPr>
        <w:tab/>
      </w:r>
      <w:r w:rsidR="000F0E94">
        <w:rPr>
          <w:sz w:val="24"/>
          <w:szCs w:val="24"/>
        </w:rPr>
        <w:t>Dylan King, Legal Division</w:t>
      </w:r>
    </w:p>
    <w:p w14:paraId="5DB96B08" w14:textId="26203702" w:rsidR="00790DE8" w:rsidRPr="00427E48" w:rsidRDefault="00175BE7" w:rsidP="00E12272">
      <w:pPr>
        <w:tabs>
          <w:tab w:val="left" w:pos="1170"/>
        </w:tabs>
        <w:rPr>
          <w:sz w:val="24"/>
          <w:szCs w:val="24"/>
        </w:rPr>
      </w:pPr>
      <w:r>
        <w:rPr>
          <w:sz w:val="24"/>
          <w:szCs w:val="24"/>
        </w:rPr>
        <w:tab/>
      </w:r>
    </w:p>
    <w:p w14:paraId="2D4C08E5" w14:textId="03A9FE18" w:rsidR="00790DE8" w:rsidRPr="00427E48" w:rsidRDefault="001C7852" w:rsidP="00C33290">
      <w:pPr>
        <w:tabs>
          <w:tab w:val="left" w:pos="1170"/>
        </w:tabs>
        <w:rPr>
          <w:sz w:val="24"/>
          <w:szCs w:val="24"/>
        </w:rPr>
      </w:pPr>
      <w:r w:rsidRPr="00427E48">
        <w:rPr>
          <w:b/>
          <w:sz w:val="24"/>
          <w:szCs w:val="24"/>
        </w:rPr>
        <w:t>FROM</w:t>
      </w:r>
      <w:r w:rsidR="00790DE8" w:rsidRPr="00427E48">
        <w:rPr>
          <w:b/>
          <w:sz w:val="24"/>
          <w:szCs w:val="24"/>
        </w:rPr>
        <w:t>:</w:t>
      </w:r>
      <w:r w:rsidR="00790DE8" w:rsidRPr="00427E48">
        <w:rPr>
          <w:b/>
          <w:sz w:val="24"/>
          <w:szCs w:val="24"/>
        </w:rPr>
        <w:tab/>
      </w:r>
      <w:r w:rsidR="00790DE8" w:rsidRPr="00427E48">
        <w:rPr>
          <w:sz w:val="24"/>
          <w:szCs w:val="24"/>
        </w:rPr>
        <w:t>Darryl Tietjen, Rate Regulation</w:t>
      </w:r>
      <w:r w:rsidR="004F2CCF">
        <w:rPr>
          <w:sz w:val="24"/>
          <w:szCs w:val="24"/>
        </w:rPr>
        <w:t xml:space="preserve"> Division</w:t>
      </w:r>
    </w:p>
    <w:p w14:paraId="78F0E12B" w14:textId="0D648E06" w:rsidR="00790DE8" w:rsidRPr="00427E48" w:rsidRDefault="00B26D2B" w:rsidP="00C33290">
      <w:pPr>
        <w:tabs>
          <w:tab w:val="left" w:pos="1170"/>
        </w:tabs>
        <w:rPr>
          <w:b/>
          <w:sz w:val="24"/>
          <w:szCs w:val="24"/>
        </w:rPr>
      </w:pPr>
      <w:r w:rsidRPr="00427E48">
        <w:rPr>
          <w:sz w:val="24"/>
          <w:szCs w:val="24"/>
        </w:rPr>
        <w:tab/>
      </w:r>
      <w:r w:rsidR="000063ED" w:rsidRPr="00427E48">
        <w:rPr>
          <w:b/>
          <w:sz w:val="24"/>
          <w:szCs w:val="24"/>
        </w:rPr>
        <w:tab/>
      </w:r>
      <w:r w:rsidR="00790DE8" w:rsidRPr="00427E48">
        <w:rPr>
          <w:b/>
          <w:sz w:val="24"/>
          <w:szCs w:val="24"/>
        </w:rPr>
        <w:tab/>
      </w:r>
      <w:r w:rsidR="00790DE8" w:rsidRPr="00427E48">
        <w:rPr>
          <w:b/>
          <w:sz w:val="24"/>
          <w:szCs w:val="24"/>
        </w:rPr>
        <w:tab/>
      </w:r>
      <w:r w:rsidR="00790DE8" w:rsidRPr="00427E48">
        <w:rPr>
          <w:b/>
          <w:sz w:val="24"/>
          <w:szCs w:val="24"/>
        </w:rPr>
        <w:tab/>
      </w:r>
    </w:p>
    <w:p w14:paraId="43FA8CDC" w14:textId="662C749F" w:rsidR="001C7852" w:rsidRPr="00427E48" w:rsidRDefault="001C7852" w:rsidP="001C7852">
      <w:pPr>
        <w:tabs>
          <w:tab w:val="left" w:pos="1170"/>
        </w:tabs>
        <w:rPr>
          <w:b/>
          <w:sz w:val="24"/>
          <w:szCs w:val="24"/>
        </w:rPr>
      </w:pPr>
      <w:r w:rsidRPr="00427E48">
        <w:rPr>
          <w:b/>
          <w:sz w:val="24"/>
          <w:szCs w:val="24"/>
        </w:rPr>
        <w:t>DATE:</w:t>
      </w:r>
      <w:r w:rsidRPr="00427E48">
        <w:rPr>
          <w:b/>
          <w:sz w:val="24"/>
          <w:szCs w:val="24"/>
        </w:rPr>
        <w:tab/>
      </w:r>
      <w:r w:rsidR="00546BDB">
        <w:rPr>
          <w:sz w:val="24"/>
          <w:szCs w:val="24"/>
        </w:rPr>
        <w:t>November 22</w:t>
      </w:r>
      <w:r w:rsidR="006F7D5C">
        <w:rPr>
          <w:sz w:val="24"/>
          <w:szCs w:val="24"/>
        </w:rPr>
        <w:t>, 202</w:t>
      </w:r>
      <w:r w:rsidR="000F0E94">
        <w:rPr>
          <w:sz w:val="24"/>
          <w:szCs w:val="24"/>
        </w:rPr>
        <w:t>4</w:t>
      </w:r>
    </w:p>
    <w:p w14:paraId="07F458AD" w14:textId="77777777" w:rsidR="001C7852" w:rsidRPr="00427E48" w:rsidRDefault="001C7852" w:rsidP="00C33290">
      <w:pPr>
        <w:tabs>
          <w:tab w:val="left" w:pos="1170"/>
        </w:tabs>
        <w:ind w:left="1170" w:hanging="1170"/>
        <w:rPr>
          <w:b/>
          <w:sz w:val="24"/>
          <w:szCs w:val="24"/>
        </w:rPr>
      </w:pPr>
    </w:p>
    <w:p w14:paraId="7C8B3A0E" w14:textId="77B3A72D" w:rsidR="00790DE8" w:rsidRPr="00427E48" w:rsidRDefault="001C7852" w:rsidP="00E149D9">
      <w:pPr>
        <w:tabs>
          <w:tab w:val="left" w:pos="1170"/>
        </w:tabs>
        <w:ind w:left="1170" w:hanging="1170"/>
        <w:jc w:val="both"/>
        <w:rPr>
          <w:bCs/>
          <w:sz w:val="24"/>
          <w:szCs w:val="24"/>
        </w:rPr>
      </w:pPr>
      <w:r w:rsidRPr="00427E48">
        <w:rPr>
          <w:b/>
          <w:sz w:val="24"/>
          <w:szCs w:val="24"/>
        </w:rPr>
        <w:t>RE</w:t>
      </w:r>
      <w:r w:rsidR="00790DE8" w:rsidRPr="00427E48">
        <w:rPr>
          <w:b/>
          <w:sz w:val="24"/>
          <w:szCs w:val="24"/>
        </w:rPr>
        <w:t>:</w:t>
      </w:r>
      <w:r w:rsidR="00790DE8" w:rsidRPr="00427E48">
        <w:rPr>
          <w:sz w:val="24"/>
          <w:szCs w:val="24"/>
        </w:rPr>
        <w:t xml:space="preserve"> </w:t>
      </w:r>
      <w:r w:rsidR="00790DE8" w:rsidRPr="00427E48">
        <w:rPr>
          <w:sz w:val="24"/>
          <w:szCs w:val="24"/>
        </w:rPr>
        <w:tab/>
      </w:r>
      <w:r w:rsidR="006F7D5C">
        <w:rPr>
          <w:bCs/>
          <w:sz w:val="24"/>
          <w:szCs w:val="24"/>
        </w:rPr>
        <w:t>Docke</w:t>
      </w:r>
      <w:r w:rsidR="00790DE8" w:rsidRPr="00427E48">
        <w:rPr>
          <w:bCs/>
          <w:sz w:val="24"/>
          <w:szCs w:val="24"/>
        </w:rPr>
        <w:t xml:space="preserve">t No. </w:t>
      </w:r>
      <w:r w:rsidR="006F7D5C">
        <w:rPr>
          <w:bCs/>
          <w:sz w:val="24"/>
          <w:szCs w:val="24"/>
        </w:rPr>
        <w:t>52709</w:t>
      </w:r>
      <w:r w:rsidR="00B26D2B" w:rsidRPr="00427E48">
        <w:rPr>
          <w:bCs/>
          <w:sz w:val="24"/>
          <w:szCs w:val="24"/>
        </w:rPr>
        <w:t xml:space="preserve"> – </w:t>
      </w:r>
      <w:r w:rsidR="006F7D5C">
        <w:rPr>
          <w:bCs/>
          <w:i/>
          <w:sz w:val="24"/>
          <w:szCs w:val="24"/>
        </w:rPr>
        <w:t>Compliance Filing for Docket No. 52321 (Application of Electric Reliability Council of Texas Inc. for a Debt Obligation Order Pursuant to Chapter 39, Subchapter M, of the Public Utility Regulatory Act)</w:t>
      </w:r>
    </w:p>
    <w:p w14:paraId="6A5D801A" w14:textId="77777777" w:rsidR="000F2DE8" w:rsidRPr="005054BE" w:rsidRDefault="000F2DE8" w:rsidP="000F2DE8">
      <w:pPr>
        <w:pBdr>
          <w:bottom w:val="double" w:sz="6" w:space="1" w:color="auto"/>
        </w:pBdr>
        <w:tabs>
          <w:tab w:val="left" w:pos="1170"/>
        </w:tabs>
        <w:rPr>
          <w:sz w:val="24"/>
          <w:szCs w:val="24"/>
        </w:rPr>
      </w:pPr>
    </w:p>
    <w:p w14:paraId="3AEE9134" w14:textId="77777777" w:rsidR="000F2DE8" w:rsidRPr="00427E48" w:rsidRDefault="000F2DE8" w:rsidP="00C33290">
      <w:pPr>
        <w:tabs>
          <w:tab w:val="left" w:pos="1170"/>
        </w:tabs>
        <w:rPr>
          <w:sz w:val="24"/>
          <w:szCs w:val="24"/>
        </w:rPr>
      </w:pPr>
    </w:p>
    <w:p w14:paraId="782933B6" w14:textId="4F0B2A8C" w:rsidR="00790DE8" w:rsidRPr="00427E48" w:rsidRDefault="0071323D" w:rsidP="00910BCD">
      <w:pPr>
        <w:tabs>
          <w:tab w:val="left" w:pos="1170"/>
        </w:tabs>
        <w:jc w:val="both"/>
        <w:rPr>
          <w:b/>
          <w:bCs/>
          <w:sz w:val="24"/>
          <w:szCs w:val="24"/>
          <w:u w:val="single"/>
        </w:rPr>
      </w:pPr>
      <w:r>
        <w:rPr>
          <w:b/>
          <w:bCs/>
          <w:sz w:val="24"/>
          <w:szCs w:val="24"/>
          <w:u w:val="single"/>
        </w:rPr>
        <w:t>Introduction</w:t>
      </w:r>
    </w:p>
    <w:p w14:paraId="5FB1D6AF" w14:textId="77777777" w:rsidR="00790DE8" w:rsidRPr="0071323D" w:rsidRDefault="00790DE8" w:rsidP="0008303D">
      <w:pPr>
        <w:tabs>
          <w:tab w:val="left" w:pos="1170"/>
        </w:tabs>
        <w:spacing w:line="80" w:lineRule="exact"/>
        <w:jc w:val="both"/>
        <w:rPr>
          <w:sz w:val="24"/>
          <w:szCs w:val="24"/>
        </w:rPr>
      </w:pPr>
    </w:p>
    <w:p w14:paraId="66CC9F61" w14:textId="38602F52" w:rsidR="0071323D" w:rsidRPr="0071323D" w:rsidRDefault="00B56B6A" w:rsidP="0071323D">
      <w:pPr>
        <w:jc w:val="both"/>
        <w:rPr>
          <w:sz w:val="24"/>
          <w:szCs w:val="24"/>
        </w:rPr>
      </w:pPr>
      <w:r w:rsidRPr="0071323D">
        <w:rPr>
          <w:sz w:val="24"/>
          <w:szCs w:val="24"/>
        </w:rPr>
        <w:t xml:space="preserve">On </w:t>
      </w:r>
      <w:r w:rsidR="005430B0">
        <w:rPr>
          <w:sz w:val="24"/>
          <w:szCs w:val="24"/>
        </w:rPr>
        <w:t>November 13,</w:t>
      </w:r>
      <w:r w:rsidR="0071323D" w:rsidRPr="00A915C1">
        <w:rPr>
          <w:sz w:val="24"/>
          <w:szCs w:val="24"/>
        </w:rPr>
        <w:t xml:space="preserve"> </w:t>
      </w:r>
      <w:r w:rsidR="003542B0" w:rsidRPr="00A915C1">
        <w:rPr>
          <w:sz w:val="24"/>
          <w:szCs w:val="24"/>
        </w:rPr>
        <w:t>202</w:t>
      </w:r>
      <w:r w:rsidR="000F0E94">
        <w:rPr>
          <w:sz w:val="24"/>
          <w:szCs w:val="24"/>
        </w:rPr>
        <w:t>4</w:t>
      </w:r>
      <w:r w:rsidRPr="00A915C1">
        <w:rPr>
          <w:sz w:val="24"/>
          <w:szCs w:val="24"/>
        </w:rPr>
        <w:t xml:space="preserve">, </w:t>
      </w:r>
      <w:r w:rsidR="0022645F" w:rsidRPr="00A915C1">
        <w:rPr>
          <w:sz w:val="24"/>
          <w:szCs w:val="24"/>
        </w:rPr>
        <w:t>the Commission’s Office of Policy and Docket Management issued</w:t>
      </w:r>
      <w:r w:rsidR="005430B0">
        <w:rPr>
          <w:sz w:val="24"/>
          <w:szCs w:val="24"/>
        </w:rPr>
        <w:t xml:space="preserve"> in this docket</w:t>
      </w:r>
      <w:r w:rsidR="0022645F" w:rsidRPr="00A915C1">
        <w:rPr>
          <w:sz w:val="24"/>
          <w:szCs w:val="24"/>
        </w:rPr>
        <w:t xml:space="preserve"> </w:t>
      </w:r>
      <w:r w:rsidRPr="00A915C1">
        <w:rPr>
          <w:i/>
          <w:sz w:val="24"/>
          <w:szCs w:val="24"/>
        </w:rPr>
        <w:t xml:space="preserve">Order </w:t>
      </w:r>
      <w:r w:rsidR="0071323D" w:rsidRPr="00A915C1">
        <w:rPr>
          <w:i/>
          <w:sz w:val="24"/>
          <w:szCs w:val="24"/>
        </w:rPr>
        <w:t xml:space="preserve">No. </w:t>
      </w:r>
      <w:r w:rsidR="000F0E94">
        <w:rPr>
          <w:i/>
          <w:sz w:val="24"/>
          <w:szCs w:val="24"/>
        </w:rPr>
        <w:t>1</w:t>
      </w:r>
      <w:r w:rsidR="005430B0">
        <w:rPr>
          <w:i/>
          <w:sz w:val="24"/>
          <w:szCs w:val="24"/>
        </w:rPr>
        <w:t>7, Requiring Additional Information from ERCOT and the Issuer, and Requiring Commission St</w:t>
      </w:r>
      <w:r w:rsidRPr="00A915C1">
        <w:rPr>
          <w:i/>
          <w:sz w:val="24"/>
          <w:szCs w:val="24"/>
        </w:rPr>
        <w:t>aff Recommendation</w:t>
      </w:r>
      <w:r w:rsidRPr="00A915C1">
        <w:rPr>
          <w:sz w:val="24"/>
          <w:szCs w:val="24"/>
        </w:rPr>
        <w:t xml:space="preserve">.  </w:t>
      </w:r>
      <w:r w:rsidR="0071323D" w:rsidRPr="00A915C1">
        <w:rPr>
          <w:sz w:val="24"/>
          <w:szCs w:val="24"/>
        </w:rPr>
        <w:t xml:space="preserve">The </w:t>
      </w:r>
      <w:r w:rsidR="005430B0">
        <w:rPr>
          <w:sz w:val="24"/>
          <w:szCs w:val="24"/>
        </w:rPr>
        <w:t xml:space="preserve">order addresses the November 12, 2024 filing by the Electric Reliability Council of Texas (ERCOT) that requests Commission approval to amend </w:t>
      </w:r>
      <w:r w:rsidR="00B05189">
        <w:rPr>
          <w:sz w:val="24"/>
          <w:szCs w:val="24"/>
        </w:rPr>
        <w:t xml:space="preserve">provisions of </w:t>
      </w:r>
      <w:r w:rsidR="00CD35B0">
        <w:rPr>
          <w:sz w:val="24"/>
          <w:szCs w:val="24"/>
        </w:rPr>
        <w:t xml:space="preserve">the 2021 Series Supplement to </w:t>
      </w:r>
      <w:r w:rsidR="00564100">
        <w:rPr>
          <w:sz w:val="24"/>
          <w:szCs w:val="24"/>
        </w:rPr>
        <w:t xml:space="preserve">the indenture </w:t>
      </w:r>
      <w:r w:rsidR="00D41B65">
        <w:rPr>
          <w:sz w:val="24"/>
          <w:szCs w:val="24"/>
        </w:rPr>
        <w:t>of</w:t>
      </w:r>
      <w:r w:rsidR="00564100">
        <w:rPr>
          <w:sz w:val="24"/>
          <w:szCs w:val="24"/>
        </w:rPr>
        <w:t xml:space="preserve"> the </w:t>
      </w:r>
      <w:r w:rsidR="005430B0">
        <w:rPr>
          <w:sz w:val="24"/>
          <w:szCs w:val="24"/>
        </w:rPr>
        <w:t>Texas Stabilization M</w:t>
      </w:r>
      <w:r w:rsidR="00564100">
        <w:rPr>
          <w:sz w:val="24"/>
          <w:szCs w:val="24"/>
        </w:rPr>
        <w:t xml:space="preserve"> B</w:t>
      </w:r>
      <w:r w:rsidR="005430B0">
        <w:rPr>
          <w:sz w:val="24"/>
          <w:szCs w:val="24"/>
        </w:rPr>
        <w:t>ond</w:t>
      </w:r>
      <w:r w:rsidR="00564100">
        <w:rPr>
          <w:sz w:val="24"/>
          <w:szCs w:val="24"/>
        </w:rPr>
        <w:t>s</w:t>
      </w:r>
      <w:r w:rsidR="005430B0">
        <w:rPr>
          <w:sz w:val="24"/>
          <w:szCs w:val="24"/>
        </w:rPr>
        <w:t xml:space="preserve">, Series 2021 </w:t>
      </w:r>
      <w:r w:rsidR="00564100">
        <w:rPr>
          <w:sz w:val="24"/>
          <w:szCs w:val="24"/>
        </w:rPr>
        <w:t>(Stabilization M Bonds)</w:t>
      </w:r>
      <w:r w:rsidR="008D7C1F">
        <w:rPr>
          <w:sz w:val="24"/>
          <w:szCs w:val="24"/>
        </w:rPr>
        <w:t xml:space="preserve"> </w:t>
      </w:r>
      <w:r w:rsidR="005430B0">
        <w:rPr>
          <w:sz w:val="24"/>
          <w:szCs w:val="24"/>
        </w:rPr>
        <w:t xml:space="preserve">and requires Commission Staff, </w:t>
      </w:r>
      <w:r w:rsidR="003542B0" w:rsidRPr="00A915C1">
        <w:rPr>
          <w:sz w:val="24"/>
          <w:szCs w:val="24"/>
        </w:rPr>
        <w:t xml:space="preserve">by </w:t>
      </w:r>
      <w:r w:rsidR="007434A9">
        <w:rPr>
          <w:sz w:val="24"/>
          <w:szCs w:val="24"/>
        </w:rPr>
        <w:t>November 22</w:t>
      </w:r>
      <w:r w:rsidR="000F0E94">
        <w:rPr>
          <w:sz w:val="24"/>
          <w:szCs w:val="24"/>
        </w:rPr>
        <w:t>, 2024</w:t>
      </w:r>
      <w:r w:rsidR="003542B0" w:rsidRPr="00A915C1">
        <w:rPr>
          <w:sz w:val="24"/>
          <w:szCs w:val="24"/>
        </w:rPr>
        <w:t>,</w:t>
      </w:r>
      <w:r w:rsidR="005430B0">
        <w:rPr>
          <w:sz w:val="24"/>
          <w:szCs w:val="24"/>
        </w:rPr>
        <w:t xml:space="preserve"> to “make a r</w:t>
      </w:r>
      <w:r w:rsidR="003542B0" w:rsidRPr="00A915C1">
        <w:rPr>
          <w:sz w:val="24"/>
          <w:szCs w:val="24"/>
        </w:rPr>
        <w:t>ecommendatio</w:t>
      </w:r>
      <w:r w:rsidR="005430B0">
        <w:rPr>
          <w:sz w:val="24"/>
          <w:szCs w:val="24"/>
        </w:rPr>
        <w:t>n as to whether the Commission should consent to the proposed change</w:t>
      </w:r>
      <w:r w:rsidR="008D7C1F">
        <w:rPr>
          <w:sz w:val="24"/>
          <w:szCs w:val="24"/>
        </w:rPr>
        <w:t>, object to the proposed change, or ask for an additional 30 days to consider the proposed change</w:t>
      </w:r>
      <w:r w:rsidR="0071323D" w:rsidRPr="00A915C1">
        <w:rPr>
          <w:sz w:val="24"/>
          <w:szCs w:val="24"/>
        </w:rPr>
        <w:t>.</w:t>
      </w:r>
      <w:r w:rsidR="003542B0" w:rsidRPr="00A915C1">
        <w:rPr>
          <w:sz w:val="24"/>
          <w:szCs w:val="24"/>
        </w:rPr>
        <w:t>”</w:t>
      </w:r>
      <w:r w:rsidR="003542B0">
        <w:rPr>
          <w:sz w:val="24"/>
          <w:szCs w:val="24"/>
        </w:rPr>
        <w:t xml:space="preserve">  </w:t>
      </w:r>
      <w:r w:rsidR="000E3FD9">
        <w:rPr>
          <w:sz w:val="24"/>
          <w:szCs w:val="24"/>
        </w:rPr>
        <w:t>Order No. 17 also requires ERCOT to “explain whether the amendments they seek in their notice of intent may have the effect of increasing ongoing costs.”</w:t>
      </w:r>
    </w:p>
    <w:p w14:paraId="5DCB639E" w14:textId="0D2815EF" w:rsidR="00B56B6A" w:rsidRDefault="00B56B6A" w:rsidP="0071323D">
      <w:pPr>
        <w:tabs>
          <w:tab w:val="left" w:pos="1170"/>
        </w:tabs>
        <w:jc w:val="both"/>
        <w:rPr>
          <w:sz w:val="24"/>
          <w:szCs w:val="24"/>
        </w:rPr>
      </w:pPr>
    </w:p>
    <w:p w14:paraId="2832CBE1" w14:textId="77777777" w:rsidR="00016946" w:rsidRDefault="00F25188" w:rsidP="00016946">
      <w:pPr>
        <w:tabs>
          <w:tab w:val="left" w:pos="1170"/>
        </w:tabs>
        <w:jc w:val="both"/>
        <w:rPr>
          <w:b/>
          <w:bCs/>
          <w:sz w:val="24"/>
          <w:szCs w:val="24"/>
          <w:u w:val="single"/>
        </w:rPr>
      </w:pPr>
      <w:r>
        <w:rPr>
          <w:b/>
          <w:bCs/>
          <w:sz w:val="24"/>
          <w:szCs w:val="24"/>
          <w:u w:val="single"/>
        </w:rPr>
        <w:t>Discussion</w:t>
      </w:r>
    </w:p>
    <w:p w14:paraId="6606F575" w14:textId="77777777" w:rsidR="00016946" w:rsidRDefault="00016946" w:rsidP="00016946">
      <w:pPr>
        <w:tabs>
          <w:tab w:val="left" w:pos="1170"/>
        </w:tabs>
        <w:spacing w:line="80" w:lineRule="exact"/>
        <w:jc w:val="both"/>
        <w:rPr>
          <w:b/>
          <w:bCs/>
          <w:sz w:val="24"/>
          <w:szCs w:val="24"/>
          <w:u w:val="single"/>
        </w:rPr>
      </w:pPr>
    </w:p>
    <w:p w14:paraId="0C40D545" w14:textId="6ED2B777" w:rsidR="009B76E1" w:rsidRDefault="00CD35B0" w:rsidP="00016946">
      <w:pPr>
        <w:tabs>
          <w:tab w:val="left" w:pos="1170"/>
        </w:tabs>
        <w:jc w:val="both"/>
        <w:rPr>
          <w:sz w:val="24"/>
          <w:szCs w:val="24"/>
        </w:rPr>
      </w:pPr>
      <w:r>
        <w:rPr>
          <w:sz w:val="24"/>
          <w:szCs w:val="24"/>
        </w:rPr>
        <w:t xml:space="preserve">Under the provisions of </w:t>
      </w:r>
      <w:r w:rsidR="00A245C0">
        <w:rPr>
          <w:sz w:val="24"/>
          <w:szCs w:val="24"/>
        </w:rPr>
        <w:t xml:space="preserve">Texas </w:t>
      </w:r>
      <w:r>
        <w:rPr>
          <w:sz w:val="24"/>
          <w:szCs w:val="24"/>
        </w:rPr>
        <w:t xml:space="preserve">Government Code § 404.0241, the </w:t>
      </w:r>
      <w:r w:rsidR="00CF5F18">
        <w:rPr>
          <w:sz w:val="24"/>
          <w:szCs w:val="24"/>
        </w:rPr>
        <w:t>Texas Treasury Safekeeping Trust Company (Initial Purchaser)</w:t>
      </w:r>
      <w:r>
        <w:rPr>
          <w:sz w:val="24"/>
          <w:szCs w:val="24"/>
        </w:rPr>
        <w:t xml:space="preserve"> </w:t>
      </w:r>
      <w:r w:rsidR="00D41B65">
        <w:rPr>
          <w:sz w:val="24"/>
          <w:szCs w:val="24"/>
        </w:rPr>
        <w:t xml:space="preserve">in November 2021 </w:t>
      </w:r>
      <w:r w:rsidR="00CF5F18">
        <w:rPr>
          <w:sz w:val="24"/>
          <w:szCs w:val="24"/>
        </w:rPr>
        <w:t>purchase</w:t>
      </w:r>
      <w:r w:rsidR="003045D9">
        <w:rPr>
          <w:sz w:val="24"/>
          <w:szCs w:val="24"/>
        </w:rPr>
        <w:t>d</w:t>
      </w:r>
      <w:r>
        <w:rPr>
          <w:sz w:val="24"/>
          <w:szCs w:val="24"/>
        </w:rPr>
        <w:t xml:space="preserve"> the initial issuance of the Stabilization M Bon</w:t>
      </w:r>
      <w:r w:rsidR="00CF5F18">
        <w:rPr>
          <w:sz w:val="24"/>
          <w:szCs w:val="24"/>
        </w:rPr>
        <w:t>ds.  The Initial Purchaser remains the legal owner of the Stabilization M Bonds and</w:t>
      </w:r>
      <w:r w:rsidR="003045D9">
        <w:rPr>
          <w:sz w:val="24"/>
          <w:szCs w:val="24"/>
        </w:rPr>
        <w:t xml:space="preserve"> </w:t>
      </w:r>
      <w:r w:rsidR="003045D9" w:rsidRPr="007434A9">
        <w:rPr>
          <w:sz w:val="24"/>
          <w:szCs w:val="24"/>
        </w:rPr>
        <w:t xml:space="preserve">may not transfer </w:t>
      </w:r>
      <w:r w:rsidR="003045D9">
        <w:rPr>
          <w:sz w:val="24"/>
          <w:szCs w:val="24"/>
        </w:rPr>
        <w:t xml:space="preserve">or sell the </w:t>
      </w:r>
      <w:r w:rsidR="003045D9" w:rsidRPr="007434A9">
        <w:rPr>
          <w:sz w:val="24"/>
          <w:szCs w:val="24"/>
        </w:rPr>
        <w:t>Stabilization M Bonds</w:t>
      </w:r>
      <w:r w:rsidR="00CF5F18">
        <w:rPr>
          <w:sz w:val="24"/>
          <w:szCs w:val="24"/>
        </w:rPr>
        <w:t xml:space="preserve"> </w:t>
      </w:r>
      <w:r w:rsidR="007434A9">
        <w:rPr>
          <w:sz w:val="24"/>
          <w:szCs w:val="24"/>
        </w:rPr>
        <w:t>b</w:t>
      </w:r>
      <w:r w:rsidR="007434A9" w:rsidRPr="007434A9">
        <w:rPr>
          <w:sz w:val="24"/>
          <w:szCs w:val="24"/>
        </w:rPr>
        <w:t xml:space="preserve">efore February 1, 2025 </w:t>
      </w:r>
      <w:r w:rsidR="000E3FD9">
        <w:rPr>
          <w:sz w:val="24"/>
          <w:szCs w:val="24"/>
        </w:rPr>
        <w:t xml:space="preserve">and </w:t>
      </w:r>
      <w:r w:rsidR="009B76E1">
        <w:rPr>
          <w:sz w:val="24"/>
          <w:szCs w:val="24"/>
        </w:rPr>
        <w:t>without</w:t>
      </w:r>
      <w:r w:rsidR="000E3FD9">
        <w:rPr>
          <w:sz w:val="24"/>
          <w:szCs w:val="24"/>
        </w:rPr>
        <w:t xml:space="preserve"> providing notice to the</w:t>
      </w:r>
      <w:r w:rsidR="003045D9">
        <w:rPr>
          <w:sz w:val="24"/>
          <w:szCs w:val="24"/>
        </w:rPr>
        <w:t xml:space="preserve"> Issuer</w:t>
      </w:r>
      <w:r w:rsidR="007434A9" w:rsidRPr="007434A9">
        <w:rPr>
          <w:sz w:val="24"/>
          <w:szCs w:val="24"/>
        </w:rPr>
        <w:t xml:space="preserve">. </w:t>
      </w:r>
      <w:r w:rsidR="007434A9">
        <w:rPr>
          <w:sz w:val="24"/>
          <w:szCs w:val="24"/>
        </w:rPr>
        <w:t xml:space="preserve"> </w:t>
      </w:r>
    </w:p>
    <w:p w14:paraId="45E23CA2" w14:textId="77777777" w:rsidR="009B76E1" w:rsidRDefault="009B76E1" w:rsidP="00016946">
      <w:pPr>
        <w:tabs>
          <w:tab w:val="left" w:pos="1170"/>
        </w:tabs>
        <w:jc w:val="both"/>
        <w:rPr>
          <w:sz w:val="24"/>
          <w:szCs w:val="24"/>
        </w:rPr>
      </w:pPr>
    </w:p>
    <w:p w14:paraId="1CD9464D" w14:textId="572FE299" w:rsidR="00CD35B0" w:rsidRPr="00CF5F18" w:rsidRDefault="00207FB7" w:rsidP="00016946">
      <w:pPr>
        <w:tabs>
          <w:tab w:val="left" w:pos="1170"/>
        </w:tabs>
        <w:jc w:val="both"/>
        <w:rPr>
          <w:color w:val="0070C0"/>
          <w:sz w:val="24"/>
          <w:szCs w:val="24"/>
        </w:rPr>
      </w:pPr>
      <w:r>
        <w:rPr>
          <w:sz w:val="24"/>
          <w:szCs w:val="24"/>
        </w:rPr>
        <w:t>On or after February 1, 2025, however, t</w:t>
      </w:r>
      <w:r w:rsidR="007434A9">
        <w:rPr>
          <w:sz w:val="24"/>
          <w:szCs w:val="24"/>
        </w:rPr>
        <w:t xml:space="preserve">he Initial Purchaser may </w:t>
      </w:r>
      <w:r w:rsidR="00CD35B0">
        <w:rPr>
          <w:sz w:val="24"/>
          <w:szCs w:val="24"/>
        </w:rPr>
        <w:t xml:space="preserve">transfer or sell </w:t>
      </w:r>
      <w:r w:rsidR="00D7689F">
        <w:rPr>
          <w:sz w:val="24"/>
          <w:szCs w:val="24"/>
        </w:rPr>
        <w:t xml:space="preserve">the Stabilization M bonds </w:t>
      </w:r>
      <w:r w:rsidR="00CD35B0">
        <w:rPr>
          <w:sz w:val="24"/>
          <w:szCs w:val="24"/>
        </w:rPr>
        <w:t>to a third party</w:t>
      </w:r>
      <w:r w:rsidR="008356B8">
        <w:rPr>
          <w:sz w:val="24"/>
          <w:szCs w:val="24"/>
        </w:rPr>
        <w:t>,</w:t>
      </w:r>
      <w:r w:rsidR="00CD35B0">
        <w:rPr>
          <w:sz w:val="24"/>
          <w:szCs w:val="24"/>
        </w:rPr>
        <w:t xml:space="preserve"> </w:t>
      </w:r>
      <w:r w:rsidR="00CF5F18">
        <w:rPr>
          <w:sz w:val="24"/>
          <w:szCs w:val="24"/>
        </w:rPr>
        <w:t xml:space="preserve">provided that the Initial Purchaser timely </w:t>
      </w:r>
      <w:r w:rsidR="008356B8">
        <w:rPr>
          <w:sz w:val="24"/>
          <w:szCs w:val="24"/>
        </w:rPr>
        <w:t>gives</w:t>
      </w:r>
      <w:r w:rsidR="00CF5F18">
        <w:rPr>
          <w:sz w:val="24"/>
          <w:szCs w:val="24"/>
        </w:rPr>
        <w:t xml:space="preserve"> </w:t>
      </w:r>
      <w:r w:rsidR="00A245C0" w:rsidRPr="007434A9">
        <w:rPr>
          <w:sz w:val="24"/>
          <w:szCs w:val="24"/>
        </w:rPr>
        <w:t>notice of the intended transfer or sale</w:t>
      </w:r>
      <w:r w:rsidR="00A245C0">
        <w:rPr>
          <w:sz w:val="24"/>
          <w:szCs w:val="24"/>
        </w:rPr>
        <w:t xml:space="preserve"> to the bonds’ issuer, </w:t>
      </w:r>
      <w:r w:rsidR="00CF5F18">
        <w:rPr>
          <w:sz w:val="24"/>
          <w:szCs w:val="24"/>
        </w:rPr>
        <w:t xml:space="preserve">the Texas </w:t>
      </w:r>
      <w:r w:rsidR="00CF5F18" w:rsidRPr="007434A9">
        <w:rPr>
          <w:sz w:val="24"/>
          <w:szCs w:val="24"/>
        </w:rPr>
        <w:t>Electric Market Stabilization</w:t>
      </w:r>
      <w:r w:rsidR="00A245C0">
        <w:rPr>
          <w:sz w:val="24"/>
          <w:szCs w:val="24"/>
        </w:rPr>
        <w:t xml:space="preserve"> Funding M LLC (Issuer)</w:t>
      </w:r>
      <w:r w:rsidR="00CD35B0" w:rsidRPr="007434A9">
        <w:rPr>
          <w:sz w:val="24"/>
          <w:szCs w:val="24"/>
        </w:rPr>
        <w:t xml:space="preserve">.  </w:t>
      </w:r>
      <w:r w:rsidR="0095172B">
        <w:rPr>
          <w:sz w:val="24"/>
          <w:szCs w:val="24"/>
        </w:rPr>
        <w:t xml:space="preserve">In the event of </w:t>
      </w:r>
      <w:r w:rsidR="009B76E1">
        <w:rPr>
          <w:sz w:val="24"/>
          <w:szCs w:val="24"/>
        </w:rPr>
        <w:t>such a</w:t>
      </w:r>
      <w:r w:rsidR="0052053B">
        <w:rPr>
          <w:sz w:val="24"/>
          <w:szCs w:val="24"/>
        </w:rPr>
        <w:t xml:space="preserve"> transfer or assignment of</w:t>
      </w:r>
      <w:r w:rsidR="0052053B" w:rsidRPr="007434A9">
        <w:rPr>
          <w:sz w:val="24"/>
          <w:szCs w:val="24"/>
        </w:rPr>
        <w:t xml:space="preserve"> the Stabilization M Bonds</w:t>
      </w:r>
      <w:r w:rsidR="0095172B">
        <w:rPr>
          <w:sz w:val="24"/>
          <w:szCs w:val="24"/>
        </w:rPr>
        <w:t xml:space="preserve"> by the Initial Purchaser</w:t>
      </w:r>
      <w:r w:rsidR="00E7591B">
        <w:rPr>
          <w:sz w:val="24"/>
          <w:szCs w:val="24"/>
        </w:rPr>
        <w:t xml:space="preserve">, </w:t>
      </w:r>
      <w:r w:rsidR="00CF5F18" w:rsidRPr="007434A9">
        <w:rPr>
          <w:sz w:val="24"/>
          <w:szCs w:val="24"/>
        </w:rPr>
        <w:t xml:space="preserve">the Issuer </w:t>
      </w:r>
      <w:r w:rsidR="00E7591B">
        <w:rPr>
          <w:sz w:val="24"/>
          <w:szCs w:val="24"/>
        </w:rPr>
        <w:t xml:space="preserve">loses the right </w:t>
      </w:r>
      <w:r w:rsidR="00CF5F18" w:rsidRPr="007434A9">
        <w:rPr>
          <w:sz w:val="24"/>
          <w:szCs w:val="24"/>
        </w:rPr>
        <w:t>to redeem the Stabilization M Bonds with</w:t>
      </w:r>
      <w:r w:rsidR="007434A9">
        <w:rPr>
          <w:sz w:val="24"/>
          <w:szCs w:val="24"/>
        </w:rPr>
        <w:t>out pen</w:t>
      </w:r>
      <w:r w:rsidR="00E7591B">
        <w:rPr>
          <w:sz w:val="24"/>
          <w:szCs w:val="24"/>
        </w:rPr>
        <w:t>alty or premium</w:t>
      </w:r>
      <w:r w:rsidR="00CF5F18" w:rsidRPr="007434A9">
        <w:rPr>
          <w:sz w:val="24"/>
          <w:szCs w:val="24"/>
        </w:rPr>
        <w:t>.  Thereafter,</w:t>
      </w:r>
      <w:r w:rsidR="00B30F5F" w:rsidRPr="007434A9">
        <w:rPr>
          <w:sz w:val="24"/>
          <w:szCs w:val="24"/>
        </w:rPr>
        <w:t xml:space="preserve"> any early redemption of the Stabilization M Bonds would require</w:t>
      </w:r>
      <w:r w:rsidR="00CF5F18" w:rsidRPr="007434A9">
        <w:rPr>
          <w:sz w:val="24"/>
          <w:szCs w:val="24"/>
        </w:rPr>
        <w:t xml:space="preserve"> </w:t>
      </w:r>
      <w:r w:rsidR="00B30F5F" w:rsidRPr="007434A9">
        <w:rPr>
          <w:sz w:val="24"/>
          <w:szCs w:val="24"/>
        </w:rPr>
        <w:t>the payment</w:t>
      </w:r>
      <w:r w:rsidR="000E2168" w:rsidRPr="007434A9">
        <w:rPr>
          <w:sz w:val="24"/>
          <w:szCs w:val="24"/>
        </w:rPr>
        <w:t xml:space="preserve"> of</w:t>
      </w:r>
      <w:r w:rsidR="00B30F5F" w:rsidRPr="007434A9">
        <w:rPr>
          <w:sz w:val="24"/>
          <w:szCs w:val="24"/>
        </w:rPr>
        <w:t xml:space="preserve"> </w:t>
      </w:r>
      <w:r w:rsidR="00CF5F18" w:rsidRPr="007434A9">
        <w:rPr>
          <w:sz w:val="24"/>
          <w:szCs w:val="24"/>
        </w:rPr>
        <w:t xml:space="preserve">a potentially substantial make-whole </w:t>
      </w:r>
      <w:r w:rsidR="00BF3BFB">
        <w:rPr>
          <w:sz w:val="24"/>
          <w:szCs w:val="24"/>
        </w:rPr>
        <w:t>premium</w:t>
      </w:r>
      <w:r w:rsidR="00CF5F18" w:rsidRPr="007434A9">
        <w:rPr>
          <w:sz w:val="24"/>
          <w:szCs w:val="24"/>
        </w:rPr>
        <w:t>.</w:t>
      </w:r>
    </w:p>
    <w:p w14:paraId="58EC2229" w14:textId="77777777" w:rsidR="00CD35B0" w:rsidRDefault="00CD35B0" w:rsidP="00016946">
      <w:pPr>
        <w:tabs>
          <w:tab w:val="left" w:pos="1170"/>
        </w:tabs>
        <w:jc w:val="both"/>
        <w:rPr>
          <w:sz w:val="24"/>
          <w:szCs w:val="24"/>
        </w:rPr>
      </w:pPr>
    </w:p>
    <w:p w14:paraId="7258471C" w14:textId="305E9D2B" w:rsidR="00016946" w:rsidRDefault="000E2168" w:rsidP="00016946">
      <w:pPr>
        <w:tabs>
          <w:tab w:val="left" w:pos="1170"/>
        </w:tabs>
        <w:jc w:val="both"/>
        <w:rPr>
          <w:sz w:val="24"/>
          <w:szCs w:val="24"/>
        </w:rPr>
      </w:pPr>
      <w:r>
        <w:rPr>
          <w:sz w:val="24"/>
          <w:szCs w:val="24"/>
        </w:rPr>
        <w:t>To provide time for the Texas Legislature to consider possible actions such as funding an early redemption of the Stabilization M bonds while</w:t>
      </w:r>
      <w:r w:rsidR="007434A9">
        <w:rPr>
          <w:sz w:val="24"/>
          <w:szCs w:val="24"/>
        </w:rPr>
        <w:t xml:space="preserve"> </w:t>
      </w:r>
      <w:r>
        <w:rPr>
          <w:sz w:val="24"/>
          <w:szCs w:val="24"/>
        </w:rPr>
        <w:t>the Initial Purchaser</w:t>
      </w:r>
      <w:r w:rsidR="000E3FD9">
        <w:rPr>
          <w:sz w:val="24"/>
          <w:szCs w:val="24"/>
        </w:rPr>
        <w:t xml:space="preserve"> still </w:t>
      </w:r>
      <w:r w:rsidR="004F0813">
        <w:rPr>
          <w:sz w:val="24"/>
          <w:szCs w:val="24"/>
        </w:rPr>
        <w:t xml:space="preserve">holds </w:t>
      </w:r>
      <w:r w:rsidR="000E3FD9">
        <w:rPr>
          <w:sz w:val="24"/>
          <w:szCs w:val="24"/>
        </w:rPr>
        <w:t>the bonds</w:t>
      </w:r>
      <w:r>
        <w:rPr>
          <w:sz w:val="24"/>
          <w:szCs w:val="24"/>
        </w:rPr>
        <w:t xml:space="preserve">, the Initial Purchaser has agreed to extend the period of time it is required to own the bonds.  This agreement is in the form of the proposed amendment to the 2021 Series Supplement, and </w:t>
      </w:r>
      <w:r w:rsidR="000E3FD9">
        <w:rPr>
          <w:sz w:val="24"/>
          <w:szCs w:val="24"/>
        </w:rPr>
        <w:t xml:space="preserve">it </w:t>
      </w:r>
      <w:r>
        <w:rPr>
          <w:sz w:val="24"/>
          <w:szCs w:val="24"/>
        </w:rPr>
        <w:t>extend</w:t>
      </w:r>
      <w:r w:rsidR="000E3FD9">
        <w:rPr>
          <w:sz w:val="24"/>
          <w:szCs w:val="24"/>
        </w:rPr>
        <w:t>s</w:t>
      </w:r>
      <w:r>
        <w:rPr>
          <w:sz w:val="24"/>
          <w:szCs w:val="24"/>
        </w:rPr>
        <w:t xml:space="preserve"> the period</w:t>
      </w:r>
      <w:r w:rsidR="00E7591B">
        <w:rPr>
          <w:sz w:val="24"/>
          <w:szCs w:val="24"/>
        </w:rPr>
        <w:t xml:space="preserve"> </w:t>
      </w:r>
      <w:r w:rsidR="00E7591B">
        <w:rPr>
          <w:sz w:val="24"/>
          <w:szCs w:val="24"/>
        </w:rPr>
        <w:lastRenderedPageBreak/>
        <w:t>of ownership to the earlier of</w:t>
      </w:r>
      <w:r w:rsidR="0052053B">
        <w:rPr>
          <w:sz w:val="24"/>
          <w:szCs w:val="24"/>
        </w:rPr>
        <w:t xml:space="preserve"> </w:t>
      </w:r>
      <w:r>
        <w:rPr>
          <w:sz w:val="24"/>
          <w:szCs w:val="24"/>
        </w:rPr>
        <w:t xml:space="preserve">the effective date of legislation affecting the Stabilization M </w:t>
      </w:r>
      <w:r w:rsidR="00207FB7">
        <w:rPr>
          <w:sz w:val="24"/>
          <w:szCs w:val="24"/>
        </w:rPr>
        <w:t>B</w:t>
      </w:r>
      <w:r>
        <w:rPr>
          <w:sz w:val="24"/>
          <w:szCs w:val="24"/>
        </w:rPr>
        <w:t>onds</w:t>
      </w:r>
      <w:r w:rsidR="00E7591B">
        <w:rPr>
          <w:sz w:val="24"/>
          <w:szCs w:val="24"/>
        </w:rPr>
        <w:t xml:space="preserve"> o</w:t>
      </w:r>
      <w:r w:rsidR="00D41B65">
        <w:rPr>
          <w:sz w:val="24"/>
          <w:szCs w:val="24"/>
        </w:rPr>
        <w:t>r</w:t>
      </w:r>
      <w:r w:rsidR="0052053B">
        <w:rPr>
          <w:sz w:val="24"/>
          <w:szCs w:val="24"/>
        </w:rPr>
        <w:t xml:space="preserve"> </w:t>
      </w:r>
      <w:r>
        <w:rPr>
          <w:sz w:val="24"/>
          <w:szCs w:val="24"/>
        </w:rPr>
        <w:t>S</w:t>
      </w:r>
      <w:r w:rsidR="000E3FD9">
        <w:rPr>
          <w:sz w:val="24"/>
          <w:szCs w:val="24"/>
        </w:rPr>
        <w:t xml:space="preserve">eptember 1, 2025.  Most important, </w:t>
      </w:r>
      <w:r w:rsidR="00207FB7">
        <w:rPr>
          <w:sz w:val="24"/>
          <w:szCs w:val="24"/>
        </w:rPr>
        <w:t>the</w:t>
      </w:r>
      <w:r w:rsidR="000E3FD9">
        <w:rPr>
          <w:sz w:val="24"/>
          <w:szCs w:val="24"/>
        </w:rPr>
        <w:t xml:space="preserve"> agreement lengthens the</w:t>
      </w:r>
      <w:r w:rsidR="00207FB7">
        <w:rPr>
          <w:sz w:val="24"/>
          <w:szCs w:val="24"/>
        </w:rPr>
        <w:t xml:space="preserve"> period in which early redemption of the Stabilization M Bonds </w:t>
      </w:r>
      <w:r w:rsidR="000E3FD9">
        <w:rPr>
          <w:sz w:val="24"/>
          <w:szCs w:val="24"/>
        </w:rPr>
        <w:t>can</w:t>
      </w:r>
      <w:r w:rsidR="00207FB7">
        <w:rPr>
          <w:sz w:val="24"/>
          <w:szCs w:val="24"/>
        </w:rPr>
        <w:t xml:space="preserve"> occur without payment or penalty.</w:t>
      </w:r>
      <w:r>
        <w:rPr>
          <w:sz w:val="24"/>
          <w:szCs w:val="24"/>
        </w:rPr>
        <w:t xml:space="preserve">  </w:t>
      </w:r>
      <w:r w:rsidR="00CD35B0">
        <w:rPr>
          <w:sz w:val="24"/>
          <w:szCs w:val="24"/>
        </w:rPr>
        <w:t xml:space="preserve"> </w:t>
      </w:r>
      <w:r w:rsidR="00016946" w:rsidRPr="00B0018B">
        <w:rPr>
          <w:sz w:val="24"/>
          <w:szCs w:val="24"/>
        </w:rPr>
        <w:t xml:space="preserve">  </w:t>
      </w:r>
    </w:p>
    <w:p w14:paraId="086EFFCD" w14:textId="77777777" w:rsidR="007434A9" w:rsidRDefault="007434A9" w:rsidP="00016946">
      <w:pPr>
        <w:tabs>
          <w:tab w:val="left" w:pos="1170"/>
        </w:tabs>
        <w:jc w:val="both"/>
        <w:rPr>
          <w:sz w:val="24"/>
          <w:szCs w:val="24"/>
        </w:rPr>
      </w:pPr>
    </w:p>
    <w:p w14:paraId="51912F39" w14:textId="070C0104" w:rsidR="00B0018B" w:rsidRPr="00B0018B" w:rsidRDefault="000E3FD9" w:rsidP="00B0018B">
      <w:pPr>
        <w:rPr>
          <w:b/>
          <w:sz w:val="24"/>
          <w:szCs w:val="24"/>
          <w:u w:val="single"/>
        </w:rPr>
      </w:pPr>
      <w:r>
        <w:rPr>
          <w:b/>
          <w:sz w:val="24"/>
          <w:szCs w:val="24"/>
          <w:u w:val="single"/>
        </w:rPr>
        <w:t>Effect on Ongoing Costs</w:t>
      </w:r>
    </w:p>
    <w:p w14:paraId="0DB2E30C" w14:textId="3D804FCF" w:rsidR="00B0018B" w:rsidRPr="00B0018B" w:rsidRDefault="00B0018B" w:rsidP="00B0018B">
      <w:pPr>
        <w:tabs>
          <w:tab w:val="left" w:pos="1170"/>
        </w:tabs>
        <w:spacing w:line="80" w:lineRule="exact"/>
        <w:jc w:val="both"/>
        <w:rPr>
          <w:sz w:val="24"/>
          <w:szCs w:val="24"/>
        </w:rPr>
      </w:pPr>
    </w:p>
    <w:p w14:paraId="72426AA0" w14:textId="7A04F752" w:rsidR="00725489" w:rsidRDefault="009D3DC6" w:rsidP="00725489">
      <w:pPr>
        <w:jc w:val="both"/>
        <w:rPr>
          <w:sz w:val="24"/>
          <w:szCs w:val="24"/>
        </w:rPr>
      </w:pPr>
      <w:r>
        <w:rPr>
          <w:sz w:val="24"/>
          <w:szCs w:val="24"/>
        </w:rPr>
        <w:t>In</w:t>
      </w:r>
      <w:r w:rsidR="000E3FD9">
        <w:rPr>
          <w:sz w:val="24"/>
          <w:szCs w:val="24"/>
        </w:rPr>
        <w:t xml:space="preserve"> response to Order No. 17’s </w:t>
      </w:r>
      <w:r w:rsidR="00725489">
        <w:rPr>
          <w:sz w:val="24"/>
          <w:szCs w:val="24"/>
        </w:rPr>
        <w:t>requirement to “explain whether the amendments they [ERCOT] seek in their notice of intent may have the effect of increasing ongoing costs,” ERCOT stated</w:t>
      </w:r>
      <w:r w:rsidR="0052053B">
        <w:rPr>
          <w:sz w:val="24"/>
          <w:szCs w:val="24"/>
        </w:rPr>
        <w:t xml:space="preserve"> the following</w:t>
      </w:r>
      <w:r w:rsidR="00725489">
        <w:rPr>
          <w:sz w:val="24"/>
          <w:szCs w:val="24"/>
        </w:rPr>
        <w:t xml:space="preserve"> on page 3 of its N</w:t>
      </w:r>
      <w:r w:rsidR="0052053B">
        <w:rPr>
          <w:sz w:val="24"/>
          <w:szCs w:val="24"/>
        </w:rPr>
        <w:t>ovember 17, 2024 filing</w:t>
      </w:r>
      <w:r w:rsidR="00695FA1">
        <w:rPr>
          <w:sz w:val="24"/>
          <w:szCs w:val="24"/>
        </w:rPr>
        <w:t xml:space="preserve"> in this docket</w:t>
      </w:r>
      <w:r w:rsidR="00725489">
        <w:rPr>
          <w:sz w:val="24"/>
          <w:szCs w:val="24"/>
        </w:rPr>
        <w:t>:</w:t>
      </w:r>
    </w:p>
    <w:p w14:paraId="1F9EEF07" w14:textId="77777777" w:rsidR="00725489" w:rsidRDefault="00725489" w:rsidP="00725489">
      <w:pPr>
        <w:jc w:val="both"/>
        <w:rPr>
          <w:sz w:val="24"/>
          <w:szCs w:val="24"/>
        </w:rPr>
      </w:pPr>
    </w:p>
    <w:p w14:paraId="2F44A42E" w14:textId="422CF772" w:rsidR="00725489" w:rsidRDefault="00725489" w:rsidP="00725489">
      <w:pPr>
        <w:ind w:left="720" w:right="720"/>
        <w:jc w:val="both"/>
      </w:pPr>
      <w:r>
        <w:t>The proposed amendment to the 2021 Series Supplement do[es] not increase ongoing costs.  The sole purpose of the purposed amendment to the 2021 Series Supplement is to extend the period of time during which the Initial Purchaser is required to maintain ownership of the Stabilization M Bonds.  The effect of extending this period of required ownership is to preserve for the Issuer the opportunity to redeem the Stabilization M Bonds at</w:t>
      </w:r>
      <w:r w:rsidR="0052053B">
        <w:t xml:space="preserve"> par.  </w:t>
      </w:r>
      <w:r>
        <w:t>After the Initial Purchaser transfers ownership of the Stabilization M Bonds, the Issuer’s right to redeem at par is lost and any subsequent early redemption of the Stabilization M Bonds will require payment of a “make whole” premium.</w:t>
      </w:r>
    </w:p>
    <w:p w14:paraId="24272261" w14:textId="77777777" w:rsidR="00725489" w:rsidRDefault="00725489" w:rsidP="00725489">
      <w:pPr>
        <w:jc w:val="both"/>
      </w:pPr>
    </w:p>
    <w:p w14:paraId="0C5EB657" w14:textId="7A0DB959" w:rsidR="00725489" w:rsidRDefault="00725489" w:rsidP="00725489">
      <w:pPr>
        <w:jc w:val="both"/>
        <w:rPr>
          <w:sz w:val="24"/>
          <w:szCs w:val="24"/>
        </w:rPr>
      </w:pPr>
      <w:r>
        <w:rPr>
          <w:sz w:val="24"/>
          <w:szCs w:val="24"/>
        </w:rPr>
        <w:t>Based on the above and other information in ERCOT’s filings, I agree that the proposed amendment does not increase ongoing costs.  The fundamental objective of the proposed amendment is to provide an opportunity for the Texas Legislature to consider possible actions that include funding</w:t>
      </w:r>
      <w:r w:rsidR="0052053B">
        <w:rPr>
          <w:sz w:val="24"/>
          <w:szCs w:val="24"/>
        </w:rPr>
        <w:t xml:space="preserve"> for the</w:t>
      </w:r>
      <w:r>
        <w:rPr>
          <w:sz w:val="24"/>
          <w:szCs w:val="24"/>
        </w:rPr>
        <w:t xml:space="preserve"> early redemption of the Stabilization M Bonds</w:t>
      </w:r>
      <w:r w:rsidR="0052053B">
        <w:rPr>
          <w:sz w:val="24"/>
          <w:szCs w:val="24"/>
        </w:rPr>
        <w:t>—an outcome</w:t>
      </w:r>
      <w:r>
        <w:rPr>
          <w:sz w:val="24"/>
          <w:szCs w:val="24"/>
        </w:rPr>
        <w:t xml:space="preserve"> </w:t>
      </w:r>
      <w:r w:rsidR="0052053B">
        <w:rPr>
          <w:sz w:val="24"/>
          <w:szCs w:val="24"/>
        </w:rPr>
        <w:t>that would result in the elimination of</w:t>
      </w:r>
      <w:r w:rsidR="00684E88">
        <w:rPr>
          <w:sz w:val="24"/>
          <w:szCs w:val="24"/>
        </w:rPr>
        <w:t xml:space="preserve"> the “default charges” </w:t>
      </w:r>
      <w:r w:rsidR="0095172B">
        <w:rPr>
          <w:sz w:val="24"/>
          <w:szCs w:val="24"/>
        </w:rPr>
        <w:t xml:space="preserve">and associated carrying costs </w:t>
      </w:r>
      <w:r w:rsidR="00684E88">
        <w:rPr>
          <w:sz w:val="24"/>
          <w:szCs w:val="24"/>
        </w:rPr>
        <w:t xml:space="preserve">paid by market participants.  </w:t>
      </w:r>
    </w:p>
    <w:p w14:paraId="73020C52" w14:textId="77777777" w:rsidR="00725489" w:rsidRDefault="00725489" w:rsidP="00725489">
      <w:pPr>
        <w:jc w:val="both"/>
        <w:rPr>
          <w:sz w:val="24"/>
          <w:szCs w:val="24"/>
        </w:rPr>
      </w:pPr>
    </w:p>
    <w:p w14:paraId="0E311D25" w14:textId="5548D5FE" w:rsidR="00053639" w:rsidRPr="00B0018B" w:rsidRDefault="005D2174" w:rsidP="00053639">
      <w:pPr>
        <w:adjustRightInd/>
        <w:jc w:val="both"/>
        <w:textAlignment w:val="auto"/>
        <w:rPr>
          <w:b/>
          <w:bCs/>
          <w:sz w:val="24"/>
          <w:szCs w:val="24"/>
          <w:u w:val="single"/>
        </w:rPr>
      </w:pPr>
      <w:r w:rsidRPr="00B0018B">
        <w:rPr>
          <w:b/>
          <w:bCs/>
          <w:sz w:val="24"/>
          <w:szCs w:val="24"/>
          <w:u w:val="single"/>
        </w:rPr>
        <w:t>Recommendation</w:t>
      </w:r>
    </w:p>
    <w:p w14:paraId="0D37CD3E" w14:textId="77777777" w:rsidR="00053639" w:rsidRPr="00B0018B" w:rsidRDefault="00053639" w:rsidP="00053639">
      <w:pPr>
        <w:adjustRightInd/>
        <w:spacing w:line="80" w:lineRule="exact"/>
        <w:jc w:val="both"/>
        <w:textAlignment w:val="auto"/>
        <w:rPr>
          <w:sz w:val="24"/>
          <w:szCs w:val="24"/>
        </w:rPr>
      </w:pPr>
    </w:p>
    <w:p w14:paraId="0D01549F" w14:textId="57B6CBF2" w:rsidR="006E2C95" w:rsidRPr="00B0018B" w:rsidRDefault="00416A72" w:rsidP="002D150F">
      <w:pPr>
        <w:jc w:val="both"/>
        <w:rPr>
          <w:sz w:val="24"/>
          <w:szCs w:val="24"/>
          <w:shd w:val="clear" w:color="auto" w:fill="FFFFFF"/>
        </w:rPr>
      </w:pPr>
      <w:r w:rsidRPr="00B0018B">
        <w:rPr>
          <w:sz w:val="24"/>
          <w:szCs w:val="24"/>
          <w:shd w:val="clear" w:color="auto" w:fill="FFFFFF"/>
        </w:rPr>
        <w:t xml:space="preserve">I recommend that the Commission </w:t>
      </w:r>
      <w:r w:rsidR="00684E88">
        <w:rPr>
          <w:sz w:val="24"/>
          <w:szCs w:val="24"/>
          <w:shd w:val="clear" w:color="auto" w:fill="FFFFFF"/>
        </w:rPr>
        <w:t xml:space="preserve">consent to the indenture amendment proposed by ERCOT in its November 12, 2024 </w:t>
      </w:r>
      <w:r w:rsidR="00E26167">
        <w:rPr>
          <w:sz w:val="24"/>
          <w:szCs w:val="24"/>
          <w:shd w:val="clear" w:color="auto" w:fill="FFFFFF"/>
        </w:rPr>
        <w:t xml:space="preserve">and November 15, 2024 </w:t>
      </w:r>
      <w:r w:rsidR="00684E88">
        <w:rPr>
          <w:sz w:val="24"/>
          <w:szCs w:val="24"/>
          <w:shd w:val="clear" w:color="auto" w:fill="FFFFFF"/>
        </w:rPr>
        <w:t>filing</w:t>
      </w:r>
      <w:r w:rsidR="00E26167">
        <w:rPr>
          <w:sz w:val="24"/>
          <w:szCs w:val="24"/>
          <w:shd w:val="clear" w:color="auto" w:fill="FFFFFF"/>
        </w:rPr>
        <w:t>s</w:t>
      </w:r>
      <w:r w:rsidR="008A4C7D">
        <w:rPr>
          <w:sz w:val="24"/>
          <w:szCs w:val="24"/>
          <w:shd w:val="clear" w:color="auto" w:fill="FFFFFF"/>
        </w:rPr>
        <w:t xml:space="preserve"> in this docket</w:t>
      </w:r>
      <w:r w:rsidR="00684E88">
        <w:rPr>
          <w:sz w:val="24"/>
          <w:szCs w:val="24"/>
          <w:shd w:val="clear" w:color="auto" w:fill="FFFFFF"/>
        </w:rPr>
        <w:t xml:space="preserve">.  The amendment provides an opportunity for legislative </w:t>
      </w:r>
      <w:r w:rsidR="0027442A">
        <w:rPr>
          <w:sz w:val="24"/>
          <w:szCs w:val="24"/>
          <w:shd w:val="clear" w:color="auto" w:fill="FFFFFF"/>
        </w:rPr>
        <w:t xml:space="preserve">actions </w:t>
      </w:r>
      <w:r w:rsidR="004F0813">
        <w:rPr>
          <w:sz w:val="24"/>
          <w:szCs w:val="24"/>
          <w:shd w:val="clear" w:color="auto" w:fill="FFFFFF"/>
        </w:rPr>
        <w:t xml:space="preserve">that </w:t>
      </w:r>
      <w:r w:rsidR="00D41B65">
        <w:rPr>
          <w:sz w:val="24"/>
          <w:szCs w:val="24"/>
          <w:shd w:val="clear" w:color="auto" w:fill="FFFFFF"/>
        </w:rPr>
        <w:t>would result in the redemption of</w:t>
      </w:r>
      <w:r w:rsidR="0027442A">
        <w:rPr>
          <w:sz w:val="24"/>
          <w:szCs w:val="24"/>
          <w:shd w:val="clear" w:color="auto" w:fill="FFFFFF"/>
        </w:rPr>
        <w:t xml:space="preserve"> the Stabilization M Bonds in full </w:t>
      </w:r>
      <w:r w:rsidR="00684E88">
        <w:rPr>
          <w:sz w:val="24"/>
          <w:szCs w:val="24"/>
          <w:shd w:val="clear" w:color="auto" w:fill="FFFFFF"/>
        </w:rPr>
        <w:t xml:space="preserve">and thereby </w:t>
      </w:r>
      <w:r w:rsidR="00D41B65">
        <w:rPr>
          <w:sz w:val="24"/>
          <w:szCs w:val="24"/>
          <w:shd w:val="clear" w:color="auto" w:fill="FFFFFF"/>
        </w:rPr>
        <w:t>avoid</w:t>
      </w:r>
      <w:r w:rsidR="00684E88">
        <w:rPr>
          <w:sz w:val="24"/>
          <w:szCs w:val="24"/>
          <w:shd w:val="clear" w:color="auto" w:fill="FFFFFF"/>
        </w:rPr>
        <w:t xml:space="preserve"> the payment</w:t>
      </w:r>
      <w:r w:rsidR="0027442A">
        <w:rPr>
          <w:sz w:val="24"/>
          <w:szCs w:val="24"/>
          <w:shd w:val="clear" w:color="auto" w:fill="FFFFFF"/>
        </w:rPr>
        <w:t xml:space="preserve"> by market participants</w:t>
      </w:r>
      <w:r w:rsidR="00684E88">
        <w:rPr>
          <w:sz w:val="24"/>
          <w:szCs w:val="24"/>
          <w:shd w:val="clear" w:color="auto" w:fill="FFFFFF"/>
        </w:rPr>
        <w:t xml:space="preserve"> of default charges and related interest costs over the</w:t>
      </w:r>
      <w:r w:rsidR="0027442A">
        <w:rPr>
          <w:sz w:val="24"/>
          <w:szCs w:val="24"/>
          <w:shd w:val="clear" w:color="auto" w:fill="FFFFFF"/>
        </w:rPr>
        <w:t xml:space="preserve"> remaining</w:t>
      </w:r>
      <w:r w:rsidR="00684E88">
        <w:rPr>
          <w:sz w:val="24"/>
          <w:szCs w:val="24"/>
          <w:shd w:val="clear" w:color="auto" w:fill="FFFFFF"/>
        </w:rPr>
        <w:t xml:space="preserve"> life of the bonds.  </w:t>
      </w:r>
      <w:r w:rsidR="00521BDC">
        <w:rPr>
          <w:sz w:val="24"/>
          <w:szCs w:val="24"/>
          <w:shd w:val="clear" w:color="auto" w:fill="FFFFFF"/>
        </w:rPr>
        <w:t>Accordingly, I recommend approval of the proposed amendment.</w:t>
      </w:r>
    </w:p>
    <w:p w14:paraId="6D589A91" w14:textId="77777777" w:rsidR="00613E61" w:rsidRPr="00E40F5B" w:rsidRDefault="00613E61" w:rsidP="002D150F">
      <w:pPr>
        <w:jc w:val="both"/>
        <w:rPr>
          <w:color w:val="FF0000"/>
          <w:sz w:val="24"/>
          <w:szCs w:val="24"/>
          <w:shd w:val="clear" w:color="auto" w:fill="FFFFFF"/>
        </w:rPr>
      </w:pPr>
    </w:p>
    <w:p w14:paraId="3FB07DA0" w14:textId="77777777" w:rsidR="006E2C95" w:rsidRDefault="006E2C95" w:rsidP="002D150F">
      <w:pPr>
        <w:jc w:val="both"/>
        <w:rPr>
          <w:rFonts w:ascii="Calibri" w:hAnsi="Calibri" w:cs="Calibri"/>
          <w:color w:val="2F5597"/>
          <w:sz w:val="22"/>
          <w:szCs w:val="22"/>
          <w:shd w:val="clear" w:color="auto" w:fill="FFFFFF"/>
        </w:rPr>
      </w:pPr>
    </w:p>
    <w:sectPr w:rsidR="006E2C95" w:rsidSect="00A311EE">
      <w:headerReference w:type="default" r:id="rId9"/>
      <w:type w:val="continuous"/>
      <w:pgSz w:w="12240" w:h="15840"/>
      <w:pgMar w:top="1526" w:right="1440" w:bottom="99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F001D5" w14:textId="77777777" w:rsidR="00C05940" w:rsidRDefault="00C05940">
      <w:r>
        <w:separator/>
      </w:r>
    </w:p>
  </w:endnote>
  <w:endnote w:type="continuationSeparator" w:id="0">
    <w:p w14:paraId="1CEFD997" w14:textId="77777777" w:rsidR="00C05940" w:rsidRDefault="00C05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60FF" w14:textId="77777777" w:rsidR="00C05940" w:rsidRDefault="00C05940">
      <w:r>
        <w:separator/>
      </w:r>
    </w:p>
  </w:footnote>
  <w:footnote w:type="continuationSeparator" w:id="0">
    <w:p w14:paraId="54F90ED9" w14:textId="77777777" w:rsidR="00C05940" w:rsidRDefault="00C05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DAA6" w14:textId="77777777" w:rsidR="00DF1D1F" w:rsidRDefault="00DF1D1F">
    <w:pPr>
      <w:pStyle w:val="Header"/>
      <w:jc w:val="center"/>
      <w:rPr>
        <w:b/>
        <w:bCs/>
        <w:i/>
        <w:iCs/>
        <w:sz w:val="38"/>
        <w:szCs w:val="38"/>
      </w:rPr>
    </w:pPr>
    <w:r>
      <w:rPr>
        <w:b/>
        <w:bCs/>
        <w:i/>
        <w:iCs/>
        <w:sz w:val="38"/>
        <w:szCs w:val="38"/>
      </w:rPr>
      <w:t>Public Utility Commission of Texas</w:t>
    </w:r>
  </w:p>
  <w:p w14:paraId="1107C2DD" w14:textId="77777777" w:rsidR="00DF1D1F" w:rsidRDefault="00DF1D1F">
    <w:pPr>
      <w:pStyle w:val="Header"/>
      <w:tabs>
        <w:tab w:val="clear" w:pos="4320"/>
        <w:tab w:val="left" w:pos="1800"/>
        <w:tab w:val="left" w:pos="6840"/>
      </w:tabs>
      <w:spacing w:before="120" w:after="120"/>
      <w:rPr>
        <w:b/>
        <w:bCs/>
        <w:sz w:val="12"/>
        <w:szCs w:val="12"/>
      </w:rPr>
    </w:pPr>
    <w:r>
      <w:rPr>
        <w:b/>
        <w:bCs/>
        <w:sz w:val="12"/>
        <w:szCs w:val="12"/>
      </w:rPr>
      <w:tab/>
    </w:r>
    <w:r>
      <w:rPr>
        <w:b/>
        <w:bCs/>
        <w:sz w:val="12"/>
        <w:szCs w:val="12"/>
        <w:u w:val="single"/>
      </w:rPr>
      <w:tab/>
    </w:r>
  </w:p>
  <w:p w14:paraId="71CB405E" w14:textId="77777777" w:rsidR="00DF1D1F" w:rsidRDefault="00DF1D1F">
    <w:pPr>
      <w:pStyle w:val="Header"/>
      <w:tabs>
        <w:tab w:val="left" w:pos="1980"/>
        <w:tab w:val="left" w:pos="6750"/>
      </w:tabs>
      <w:jc w:val="center"/>
      <w:rPr>
        <w:b/>
        <w:bCs/>
        <w:sz w:val="38"/>
        <w:szCs w:val="38"/>
      </w:rPr>
    </w:pPr>
    <w:r>
      <w:rPr>
        <w:b/>
        <w:bCs/>
        <w:sz w:val="38"/>
        <w:szCs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020C0" w14:textId="16766E1F" w:rsidR="00DF1D1F" w:rsidRDefault="00FF0136" w:rsidP="00644C02">
    <w:pPr>
      <w:pStyle w:val="Header"/>
      <w:tabs>
        <w:tab w:val="clear" w:pos="8640"/>
        <w:tab w:val="right" w:pos="9900"/>
      </w:tabs>
      <w:rPr>
        <w:rStyle w:val="PageNumber"/>
      </w:rPr>
    </w:pPr>
    <w:r>
      <w:t>Docket</w:t>
    </w:r>
    <w:r w:rsidR="0073355B">
      <w:t xml:space="preserve"> No. </w:t>
    </w:r>
    <w:r>
      <w:t xml:space="preserve">52709—Staff </w:t>
    </w:r>
    <w:r w:rsidR="00F25188">
      <w:t>recommendation</w:t>
    </w:r>
    <w:r w:rsidR="00DF39AC">
      <w:t xml:space="preserve"> in r</w:t>
    </w:r>
    <w:r w:rsidR="001A7458">
      <w:t xml:space="preserve">esponse to Order No. </w:t>
    </w:r>
    <w:r w:rsidR="000514D1">
      <w:t>1</w:t>
    </w:r>
    <w:r w:rsidR="000E3FD9">
      <w:t>7</w:t>
    </w:r>
    <w:r w:rsidR="00164F81">
      <w:tab/>
    </w:r>
    <w:r w:rsidR="00DF1D1F">
      <w:t xml:space="preserve">Page </w:t>
    </w:r>
    <w:r w:rsidR="00DF1D1F">
      <w:rPr>
        <w:rStyle w:val="PageNumber"/>
      </w:rPr>
      <w:fldChar w:fldCharType="begin"/>
    </w:r>
    <w:r w:rsidR="00DF1D1F">
      <w:rPr>
        <w:rStyle w:val="PageNumber"/>
      </w:rPr>
      <w:instrText xml:space="preserve"> PAGE </w:instrText>
    </w:r>
    <w:r w:rsidR="00DF1D1F">
      <w:rPr>
        <w:rStyle w:val="PageNumber"/>
      </w:rPr>
      <w:fldChar w:fldCharType="separate"/>
    </w:r>
    <w:r w:rsidR="008A4C7D">
      <w:rPr>
        <w:rStyle w:val="PageNumber"/>
        <w:noProof/>
      </w:rPr>
      <w:t>2</w:t>
    </w:r>
    <w:r w:rsidR="00DF1D1F">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19BC"/>
    <w:multiLevelType w:val="hybridMultilevel"/>
    <w:tmpl w:val="6F1E42F4"/>
    <w:lvl w:ilvl="0" w:tplc="6B9CDA0A">
      <w:start w:val="2008"/>
      <w:numFmt w:val="decimal"/>
      <w:lvlText w:val="%1"/>
      <w:lvlJc w:val="left"/>
      <w:pPr>
        <w:tabs>
          <w:tab w:val="num" w:pos="5040"/>
        </w:tabs>
        <w:ind w:left="5040" w:hanging="1440"/>
      </w:pPr>
      <w:rPr>
        <w:rFonts w:hint="default"/>
      </w:rPr>
    </w:lvl>
    <w:lvl w:ilvl="1" w:tplc="04090019">
      <w:start w:val="1"/>
      <w:numFmt w:val="lowerLetter"/>
      <w:lvlText w:val="%2."/>
      <w:lvlJc w:val="left"/>
      <w:pPr>
        <w:tabs>
          <w:tab w:val="num" w:pos="4680"/>
        </w:tabs>
        <w:ind w:left="4680" w:hanging="360"/>
      </w:pPr>
    </w:lvl>
    <w:lvl w:ilvl="2" w:tplc="0409001B">
      <w:start w:val="1"/>
      <w:numFmt w:val="lowerRoman"/>
      <w:lvlText w:val="%3."/>
      <w:lvlJc w:val="right"/>
      <w:pPr>
        <w:tabs>
          <w:tab w:val="num" w:pos="5400"/>
        </w:tabs>
        <w:ind w:left="5400" w:hanging="180"/>
      </w:pPr>
    </w:lvl>
    <w:lvl w:ilvl="3" w:tplc="0409000F">
      <w:start w:val="1"/>
      <w:numFmt w:val="decimal"/>
      <w:lvlText w:val="%4."/>
      <w:lvlJc w:val="left"/>
      <w:pPr>
        <w:tabs>
          <w:tab w:val="num" w:pos="6120"/>
        </w:tabs>
        <w:ind w:left="6120" w:hanging="360"/>
      </w:pPr>
    </w:lvl>
    <w:lvl w:ilvl="4" w:tplc="04090019">
      <w:start w:val="1"/>
      <w:numFmt w:val="lowerLetter"/>
      <w:lvlText w:val="%5."/>
      <w:lvlJc w:val="left"/>
      <w:pPr>
        <w:tabs>
          <w:tab w:val="num" w:pos="6840"/>
        </w:tabs>
        <w:ind w:left="6840" w:hanging="360"/>
      </w:pPr>
    </w:lvl>
    <w:lvl w:ilvl="5" w:tplc="0409001B">
      <w:start w:val="1"/>
      <w:numFmt w:val="lowerRoman"/>
      <w:lvlText w:val="%6."/>
      <w:lvlJc w:val="right"/>
      <w:pPr>
        <w:tabs>
          <w:tab w:val="num" w:pos="7560"/>
        </w:tabs>
        <w:ind w:left="7560" w:hanging="180"/>
      </w:pPr>
    </w:lvl>
    <w:lvl w:ilvl="6" w:tplc="0409000F">
      <w:start w:val="1"/>
      <w:numFmt w:val="decimal"/>
      <w:lvlText w:val="%7."/>
      <w:lvlJc w:val="left"/>
      <w:pPr>
        <w:tabs>
          <w:tab w:val="num" w:pos="8280"/>
        </w:tabs>
        <w:ind w:left="8280" w:hanging="360"/>
      </w:pPr>
    </w:lvl>
    <w:lvl w:ilvl="7" w:tplc="04090019">
      <w:start w:val="1"/>
      <w:numFmt w:val="lowerLetter"/>
      <w:lvlText w:val="%8."/>
      <w:lvlJc w:val="left"/>
      <w:pPr>
        <w:tabs>
          <w:tab w:val="num" w:pos="9000"/>
        </w:tabs>
        <w:ind w:left="9000" w:hanging="360"/>
      </w:pPr>
    </w:lvl>
    <w:lvl w:ilvl="8" w:tplc="0409001B">
      <w:start w:val="1"/>
      <w:numFmt w:val="lowerRoman"/>
      <w:lvlText w:val="%9."/>
      <w:lvlJc w:val="right"/>
      <w:pPr>
        <w:tabs>
          <w:tab w:val="num" w:pos="9720"/>
        </w:tabs>
        <w:ind w:left="9720" w:hanging="180"/>
      </w:pPr>
    </w:lvl>
  </w:abstractNum>
  <w:abstractNum w:abstractNumId="1" w15:restartNumberingAfterBreak="0">
    <w:nsid w:val="08A024F3"/>
    <w:multiLevelType w:val="hybridMultilevel"/>
    <w:tmpl w:val="8794C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F15C95"/>
    <w:multiLevelType w:val="hybridMultilevel"/>
    <w:tmpl w:val="B75249C2"/>
    <w:lvl w:ilvl="0" w:tplc="F3106846">
      <w:start w:val="2008"/>
      <w:numFmt w:val="decimal"/>
      <w:lvlText w:val="%1"/>
      <w:lvlJc w:val="left"/>
      <w:pPr>
        <w:tabs>
          <w:tab w:val="num" w:pos="2160"/>
        </w:tabs>
        <w:ind w:left="2160" w:hanging="144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 w15:restartNumberingAfterBreak="0">
    <w:nsid w:val="183E2539"/>
    <w:multiLevelType w:val="hybridMultilevel"/>
    <w:tmpl w:val="8EA03B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EEF7B45"/>
    <w:multiLevelType w:val="hybridMultilevel"/>
    <w:tmpl w:val="9D320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B221A"/>
    <w:multiLevelType w:val="hybridMultilevel"/>
    <w:tmpl w:val="0374F6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266F90"/>
    <w:multiLevelType w:val="hybridMultilevel"/>
    <w:tmpl w:val="70888E7A"/>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2093E17"/>
    <w:multiLevelType w:val="hybridMultilevel"/>
    <w:tmpl w:val="6B980FC4"/>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D440898"/>
    <w:multiLevelType w:val="hybridMultilevel"/>
    <w:tmpl w:val="67BC1F2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53F63970"/>
    <w:multiLevelType w:val="hybridMultilevel"/>
    <w:tmpl w:val="784674F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D7E00C5"/>
    <w:multiLevelType w:val="hybridMultilevel"/>
    <w:tmpl w:val="68F63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3744338">
    <w:abstractNumId w:val="7"/>
  </w:num>
  <w:num w:numId="2" w16cid:durableId="1992826918">
    <w:abstractNumId w:val="6"/>
  </w:num>
  <w:num w:numId="3" w16cid:durableId="456917571">
    <w:abstractNumId w:val="9"/>
  </w:num>
  <w:num w:numId="4" w16cid:durableId="1253317118">
    <w:abstractNumId w:val="8"/>
  </w:num>
  <w:num w:numId="5" w16cid:durableId="598493585">
    <w:abstractNumId w:val="3"/>
  </w:num>
  <w:num w:numId="6" w16cid:durableId="832528248">
    <w:abstractNumId w:val="2"/>
  </w:num>
  <w:num w:numId="7" w16cid:durableId="1196576109">
    <w:abstractNumId w:val="0"/>
  </w:num>
  <w:num w:numId="8" w16cid:durableId="1045063811">
    <w:abstractNumId w:val="5"/>
  </w:num>
  <w:num w:numId="9" w16cid:durableId="712195483">
    <w:abstractNumId w:val="1"/>
  </w:num>
  <w:num w:numId="10" w16cid:durableId="1535658251">
    <w:abstractNumId w:val="4"/>
  </w:num>
  <w:num w:numId="11" w16cid:durableId="8032772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proofState w:spelling="clean" w:grammar="clean"/>
  <w:defaultTabStop w:val="72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4E41"/>
    <w:rsid w:val="000019B3"/>
    <w:rsid w:val="00002B0F"/>
    <w:rsid w:val="000032C0"/>
    <w:rsid w:val="00003802"/>
    <w:rsid w:val="000063ED"/>
    <w:rsid w:val="000067E5"/>
    <w:rsid w:val="00006C32"/>
    <w:rsid w:val="0001161D"/>
    <w:rsid w:val="00011B5E"/>
    <w:rsid w:val="00011D1A"/>
    <w:rsid w:val="000129D2"/>
    <w:rsid w:val="00012B83"/>
    <w:rsid w:val="000130B7"/>
    <w:rsid w:val="00013A31"/>
    <w:rsid w:val="000147A0"/>
    <w:rsid w:val="00016325"/>
    <w:rsid w:val="00016946"/>
    <w:rsid w:val="00017E30"/>
    <w:rsid w:val="00020CEC"/>
    <w:rsid w:val="00021AEC"/>
    <w:rsid w:val="00022D5A"/>
    <w:rsid w:val="00024620"/>
    <w:rsid w:val="00025749"/>
    <w:rsid w:val="00025E12"/>
    <w:rsid w:val="00025E1C"/>
    <w:rsid w:val="00027282"/>
    <w:rsid w:val="00031242"/>
    <w:rsid w:val="000359EC"/>
    <w:rsid w:val="00036A56"/>
    <w:rsid w:val="0003784A"/>
    <w:rsid w:val="000406E9"/>
    <w:rsid w:val="000414D3"/>
    <w:rsid w:val="00042DFB"/>
    <w:rsid w:val="00044F83"/>
    <w:rsid w:val="00045044"/>
    <w:rsid w:val="00047FC4"/>
    <w:rsid w:val="000514D1"/>
    <w:rsid w:val="000524E2"/>
    <w:rsid w:val="00053639"/>
    <w:rsid w:val="00055659"/>
    <w:rsid w:val="00056A2A"/>
    <w:rsid w:val="000619F7"/>
    <w:rsid w:val="000620EA"/>
    <w:rsid w:val="00064011"/>
    <w:rsid w:val="000647D5"/>
    <w:rsid w:val="00065E56"/>
    <w:rsid w:val="0006621B"/>
    <w:rsid w:val="0007207A"/>
    <w:rsid w:val="00073839"/>
    <w:rsid w:val="00074B79"/>
    <w:rsid w:val="000760D4"/>
    <w:rsid w:val="00076511"/>
    <w:rsid w:val="000769C3"/>
    <w:rsid w:val="00076A07"/>
    <w:rsid w:val="00076AE1"/>
    <w:rsid w:val="00077BA5"/>
    <w:rsid w:val="00080430"/>
    <w:rsid w:val="00080761"/>
    <w:rsid w:val="0008303D"/>
    <w:rsid w:val="00084866"/>
    <w:rsid w:val="00090E40"/>
    <w:rsid w:val="000915C6"/>
    <w:rsid w:val="00093A95"/>
    <w:rsid w:val="000A3394"/>
    <w:rsid w:val="000A3B52"/>
    <w:rsid w:val="000A436D"/>
    <w:rsid w:val="000A461A"/>
    <w:rsid w:val="000A4774"/>
    <w:rsid w:val="000A4CFA"/>
    <w:rsid w:val="000B0A9E"/>
    <w:rsid w:val="000B0D2D"/>
    <w:rsid w:val="000B1438"/>
    <w:rsid w:val="000B2E8D"/>
    <w:rsid w:val="000B4B11"/>
    <w:rsid w:val="000B5324"/>
    <w:rsid w:val="000B5BEC"/>
    <w:rsid w:val="000B6404"/>
    <w:rsid w:val="000C416B"/>
    <w:rsid w:val="000C4D03"/>
    <w:rsid w:val="000C6C42"/>
    <w:rsid w:val="000C736A"/>
    <w:rsid w:val="000D091E"/>
    <w:rsid w:val="000D145C"/>
    <w:rsid w:val="000D1CD8"/>
    <w:rsid w:val="000D23E8"/>
    <w:rsid w:val="000D2D97"/>
    <w:rsid w:val="000D2DC7"/>
    <w:rsid w:val="000D41B5"/>
    <w:rsid w:val="000D499C"/>
    <w:rsid w:val="000D4DDD"/>
    <w:rsid w:val="000D660D"/>
    <w:rsid w:val="000D6EF0"/>
    <w:rsid w:val="000E0C16"/>
    <w:rsid w:val="000E1C72"/>
    <w:rsid w:val="000E2168"/>
    <w:rsid w:val="000E2947"/>
    <w:rsid w:val="000E35D1"/>
    <w:rsid w:val="000E3FD9"/>
    <w:rsid w:val="000E41F0"/>
    <w:rsid w:val="000E5241"/>
    <w:rsid w:val="000E5F6B"/>
    <w:rsid w:val="000E6802"/>
    <w:rsid w:val="000F0D76"/>
    <w:rsid w:val="000F0E94"/>
    <w:rsid w:val="000F1171"/>
    <w:rsid w:val="000F255C"/>
    <w:rsid w:val="000F2A48"/>
    <w:rsid w:val="000F2DE8"/>
    <w:rsid w:val="000F5261"/>
    <w:rsid w:val="000F55A9"/>
    <w:rsid w:val="000F747B"/>
    <w:rsid w:val="001025C9"/>
    <w:rsid w:val="0010366F"/>
    <w:rsid w:val="00103B4C"/>
    <w:rsid w:val="001057B2"/>
    <w:rsid w:val="00105D20"/>
    <w:rsid w:val="001066B5"/>
    <w:rsid w:val="00106996"/>
    <w:rsid w:val="00106F50"/>
    <w:rsid w:val="00107209"/>
    <w:rsid w:val="00107957"/>
    <w:rsid w:val="00114206"/>
    <w:rsid w:val="001203E8"/>
    <w:rsid w:val="0012085E"/>
    <w:rsid w:val="0012209B"/>
    <w:rsid w:val="001238A0"/>
    <w:rsid w:val="00125151"/>
    <w:rsid w:val="001260D9"/>
    <w:rsid w:val="001302DF"/>
    <w:rsid w:val="001326CD"/>
    <w:rsid w:val="001336ED"/>
    <w:rsid w:val="00133BD8"/>
    <w:rsid w:val="00134623"/>
    <w:rsid w:val="001350D0"/>
    <w:rsid w:val="00135DDC"/>
    <w:rsid w:val="001363BB"/>
    <w:rsid w:val="00137248"/>
    <w:rsid w:val="001376E5"/>
    <w:rsid w:val="00140020"/>
    <w:rsid w:val="00140A82"/>
    <w:rsid w:val="00141809"/>
    <w:rsid w:val="00142F45"/>
    <w:rsid w:val="00142F60"/>
    <w:rsid w:val="00144D56"/>
    <w:rsid w:val="00147116"/>
    <w:rsid w:val="00147369"/>
    <w:rsid w:val="0014783C"/>
    <w:rsid w:val="0015201B"/>
    <w:rsid w:val="001553A8"/>
    <w:rsid w:val="00155602"/>
    <w:rsid w:val="00156055"/>
    <w:rsid w:val="00163672"/>
    <w:rsid w:val="00164134"/>
    <w:rsid w:val="0016452A"/>
    <w:rsid w:val="00164F81"/>
    <w:rsid w:val="0016574F"/>
    <w:rsid w:val="00170297"/>
    <w:rsid w:val="00172CF6"/>
    <w:rsid w:val="001744C7"/>
    <w:rsid w:val="00175B70"/>
    <w:rsid w:val="00175BE7"/>
    <w:rsid w:val="001779D8"/>
    <w:rsid w:val="00180134"/>
    <w:rsid w:val="00181806"/>
    <w:rsid w:val="00183425"/>
    <w:rsid w:val="001848FF"/>
    <w:rsid w:val="00185C03"/>
    <w:rsid w:val="00185DEA"/>
    <w:rsid w:val="00185E1C"/>
    <w:rsid w:val="001871CB"/>
    <w:rsid w:val="00190C8C"/>
    <w:rsid w:val="001914B3"/>
    <w:rsid w:val="0019162F"/>
    <w:rsid w:val="001917A5"/>
    <w:rsid w:val="0019412F"/>
    <w:rsid w:val="00194A46"/>
    <w:rsid w:val="00194BE6"/>
    <w:rsid w:val="00194D97"/>
    <w:rsid w:val="00195F86"/>
    <w:rsid w:val="001965B0"/>
    <w:rsid w:val="001A054C"/>
    <w:rsid w:val="001A0C3B"/>
    <w:rsid w:val="001A3289"/>
    <w:rsid w:val="001A5837"/>
    <w:rsid w:val="001A5D4C"/>
    <w:rsid w:val="001A7458"/>
    <w:rsid w:val="001A756D"/>
    <w:rsid w:val="001A7922"/>
    <w:rsid w:val="001B0AB7"/>
    <w:rsid w:val="001B11CE"/>
    <w:rsid w:val="001B12B6"/>
    <w:rsid w:val="001B1525"/>
    <w:rsid w:val="001B2223"/>
    <w:rsid w:val="001B47BC"/>
    <w:rsid w:val="001B531E"/>
    <w:rsid w:val="001C0839"/>
    <w:rsid w:val="001C1683"/>
    <w:rsid w:val="001C2981"/>
    <w:rsid w:val="001C34B3"/>
    <w:rsid w:val="001C363F"/>
    <w:rsid w:val="001C6761"/>
    <w:rsid w:val="001C6D02"/>
    <w:rsid w:val="001C6DB0"/>
    <w:rsid w:val="001C7852"/>
    <w:rsid w:val="001C7A29"/>
    <w:rsid w:val="001C7F63"/>
    <w:rsid w:val="001D0DD1"/>
    <w:rsid w:val="001D2470"/>
    <w:rsid w:val="001D3CA7"/>
    <w:rsid w:val="001D4DD5"/>
    <w:rsid w:val="001E48CA"/>
    <w:rsid w:val="001E5185"/>
    <w:rsid w:val="001E5362"/>
    <w:rsid w:val="001E5CBB"/>
    <w:rsid w:val="001E7D29"/>
    <w:rsid w:val="001F1122"/>
    <w:rsid w:val="001F5857"/>
    <w:rsid w:val="001F6A1E"/>
    <w:rsid w:val="001F7386"/>
    <w:rsid w:val="001F7F49"/>
    <w:rsid w:val="002004F3"/>
    <w:rsid w:val="00201BE7"/>
    <w:rsid w:val="002028F9"/>
    <w:rsid w:val="00206B75"/>
    <w:rsid w:val="002079BE"/>
    <w:rsid w:val="00207FB7"/>
    <w:rsid w:val="0021021B"/>
    <w:rsid w:val="002120E6"/>
    <w:rsid w:val="002124A4"/>
    <w:rsid w:val="002130BB"/>
    <w:rsid w:val="002155DD"/>
    <w:rsid w:val="002160E0"/>
    <w:rsid w:val="002163EE"/>
    <w:rsid w:val="00216CEF"/>
    <w:rsid w:val="002213C1"/>
    <w:rsid w:val="00223047"/>
    <w:rsid w:val="00223378"/>
    <w:rsid w:val="00223779"/>
    <w:rsid w:val="00223F10"/>
    <w:rsid w:val="00224530"/>
    <w:rsid w:val="0022645F"/>
    <w:rsid w:val="002264DB"/>
    <w:rsid w:val="00226973"/>
    <w:rsid w:val="00226ABD"/>
    <w:rsid w:val="002313A2"/>
    <w:rsid w:val="00231A46"/>
    <w:rsid w:val="00233E92"/>
    <w:rsid w:val="0023429E"/>
    <w:rsid w:val="00234C58"/>
    <w:rsid w:val="0023519E"/>
    <w:rsid w:val="002353C9"/>
    <w:rsid w:val="00235642"/>
    <w:rsid w:val="0023589E"/>
    <w:rsid w:val="002359F6"/>
    <w:rsid w:val="00240408"/>
    <w:rsid w:val="002409C7"/>
    <w:rsid w:val="00243568"/>
    <w:rsid w:val="00245EAC"/>
    <w:rsid w:val="002460BE"/>
    <w:rsid w:val="002471AA"/>
    <w:rsid w:val="00247D9F"/>
    <w:rsid w:val="00251BAB"/>
    <w:rsid w:val="00253242"/>
    <w:rsid w:val="00256B3D"/>
    <w:rsid w:val="002636E4"/>
    <w:rsid w:val="00263DD1"/>
    <w:rsid w:val="00264AA1"/>
    <w:rsid w:val="002654EF"/>
    <w:rsid w:val="0026619D"/>
    <w:rsid w:val="0026681D"/>
    <w:rsid w:val="00266C61"/>
    <w:rsid w:val="00270437"/>
    <w:rsid w:val="00270958"/>
    <w:rsid w:val="00270EBD"/>
    <w:rsid w:val="00272806"/>
    <w:rsid w:val="00272FB5"/>
    <w:rsid w:val="002736E1"/>
    <w:rsid w:val="00273A6A"/>
    <w:rsid w:val="0027442A"/>
    <w:rsid w:val="00275D53"/>
    <w:rsid w:val="002769D6"/>
    <w:rsid w:val="00277448"/>
    <w:rsid w:val="002802E7"/>
    <w:rsid w:val="0028074E"/>
    <w:rsid w:val="002808A3"/>
    <w:rsid w:val="002819A9"/>
    <w:rsid w:val="00282790"/>
    <w:rsid w:val="0028488E"/>
    <w:rsid w:val="00284F97"/>
    <w:rsid w:val="002852B4"/>
    <w:rsid w:val="00286478"/>
    <w:rsid w:val="002864A4"/>
    <w:rsid w:val="00286A0D"/>
    <w:rsid w:val="002913B8"/>
    <w:rsid w:val="0029200A"/>
    <w:rsid w:val="002938A0"/>
    <w:rsid w:val="002942CF"/>
    <w:rsid w:val="002944CA"/>
    <w:rsid w:val="00294C01"/>
    <w:rsid w:val="00295CCB"/>
    <w:rsid w:val="00296289"/>
    <w:rsid w:val="002967EA"/>
    <w:rsid w:val="002A0A3F"/>
    <w:rsid w:val="002A2022"/>
    <w:rsid w:val="002A2C1E"/>
    <w:rsid w:val="002A3F1D"/>
    <w:rsid w:val="002A3F7D"/>
    <w:rsid w:val="002A6246"/>
    <w:rsid w:val="002A7E3F"/>
    <w:rsid w:val="002B1A63"/>
    <w:rsid w:val="002B1D26"/>
    <w:rsid w:val="002B3116"/>
    <w:rsid w:val="002B3CE5"/>
    <w:rsid w:val="002B4BD2"/>
    <w:rsid w:val="002B4D68"/>
    <w:rsid w:val="002C2510"/>
    <w:rsid w:val="002C483F"/>
    <w:rsid w:val="002C4F27"/>
    <w:rsid w:val="002C699C"/>
    <w:rsid w:val="002C7808"/>
    <w:rsid w:val="002C7C91"/>
    <w:rsid w:val="002D150F"/>
    <w:rsid w:val="002D6871"/>
    <w:rsid w:val="002D7352"/>
    <w:rsid w:val="002E003D"/>
    <w:rsid w:val="002E0E75"/>
    <w:rsid w:val="002E12D4"/>
    <w:rsid w:val="002E172B"/>
    <w:rsid w:val="002E238B"/>
    <w:rsid w:val="002E3C26"/>
    <w:rsid w:val="002E58E4"/>
    <w:rsid w:val="002E7C46"/>
    <w:rsid w:val="002F1EA2"/>
    <w:rsid w:val="002F222C"/>
    <w:rsid w:val="002F2E7F"/>
    <w:rsid w:val="002F78F9"/>
    <w:rsid w:val="00300EF9"/>
    <w:rsid w:val="0030154A"/>
    <w:rsid w:val="00301572"/>
    <w:rsid w:val="00301838"/>
    <w:rsid w:val="003045D9"/>
    <w:rsid w:val="003049D2"/>
    <w:rsid w:val="00306048"/>
    <w:rsid w:val="00306E69"/>
    <w:rsid w:val="0031001C"/>
    <w:rsid w:val="003123F7"/>
    <w:rsid w:val="00312EBD"/>
    <w:rsid w:val="00313826"/>
    <w:rsid w:val="00314595"/>
    <w:rsid w:val="003158ED"/>
    <w:rsid w:val="00315B86"/>
    <w:rsid w:val="00317A9F"/>
    <w:rsid w:val="00326A5C"/>
    <w:rsid w:val="00326AFF"/>
    <w:rsid w:val="003276CD"/>
    <w:rsid w:val="003301CA"/>
    <w:rsid w:val="00330314"/>
    <w:rsid w:val="00330637"/>
    <w:rsid w:val="00330F89"/>
    <w:rsid w:val="00332125"/>
    <w:rsid w:val="003321E9"/>
    <w:rsid w:val="00332322"/>
    <w:rsid w:val="00336108"/>
    <w:rsid w:val="00336D28"/>
    <w:rsid w:val="00340014"/>
    <w:rsid w:val="0034049B"/>
    <w:rsid w:val="00340772"/>
    <w:rsid w:val="00343E0F"/>
    <w:rsid w:val="003442E9"/>
    <w:rsid w:val="0034663F"/>
    <w:rsid w:val="00351A87"/>
    <w:rsid w:val="0035403F"/>
    <w:rsid w:val="003542B0"/>
    <w:rsid w:val="00355E92"/>
    <w:rsid w:val="00356B47"/>
    <w:rsid w:val="00357128"/>
    <w:rsid w:val="00357817"/>
    <w:rsid w:val="00362C19"/>
    <w:rsid w:val="003642F2"/>
    <w:rsid w:val="0036638C"/>
    <w:rsid w:val="0036649D"/>
    <w:rsid w:val="003679F8"/>
    <w:rsid w:val="00367F8C"/>
    <w:rsid w:val="00370506"/>
    <w:rsid w:val="00371D2D"/>
    <w:rsid w:val="0037221B"/>
    <w:rsid w:val="00372252"/>
    <w:rsid w:val="0037286C"/>
    <w:rsid w:val="0037331D"/>
    <w:rsid w:val="00373A2E"/>
    <w:rsid w:val="0037704A"/>
    <w:rsid w:val="00377620"/>
    <w:rsid w:val="00382663"/>
    <w:rsid w:val="003835AB"/>
    <w:rsid w:val="0038369D"/>
    <w:rsid w:val="00383906"/>
    <w:rsid w:val="00383E38"/>
    <w:rsid w:val="0038574A"/>
    <w:rsid w:val="0039032C"/>
    <w:rsid w:val="00391319"/>
    <w:rsid w:val="003931F1"/>
    <w:rsid w:val="003A1837"/>
    <w:rsid w:val="003A186A"/>
    <w:rsid w:val="003A1D7E"/>
    <w:rsid w:val="003A5F9B"/>
    <w:rsid w:val="003A720B"/>
    <w:rsid w:val="003A7A10"/>
    <w:rsid w:val="003B1931"/>
    <w:rsid w:val="003B25F3"/>
    <w:rsid w:val="003B4751"/>
    <w:rsid w:val="003B5F12"/>
    <w:rsid w:val="003B71B0"/>
    <w:rsid w:val="003B752B"/>
    <w:rsid w:val="003C25B7"/>
    <w:rsid w:val="003C4DE2"/>
    <w:rsid w:val="003C74EB"/>
    <w:rsid w:val="003C789D"/>
    <w:rsid w:val="003C7E3C"/>
    <w:rsid w:val="003D122C"/>
    <w:rsid w:val="003D1305"/>
    <w:rsid w:val="003D1E9B"/>
    <w:rsid w:val="003D21CC"/>
    <w:rsid w:val="003D24BF"/>
    <w:rsid w:val="003D2BED"/>
    <w:rsid w:val="003D4B97"/>
    <w:rsid w:val="003D5553"/>
    <w:rsid w:val="003D593E"/>
    <w:rsid w:val="003D5F75"/>
    <w:rsid w:val="003D7F86"/>
    <w:rsid w:val="003E30BA"/>
    <w:rsid w:val="003E5C3A"/>
    <w:rsid w:val="003F21B8"/>
    <w:rsid w:val="003F2B85"/>
    <w:rsid w:val="003F37CF"/>
    <w:rsid w:val="003F38B8"/>
    <w:rsid w:val="003F3C59"/>
    <w:rsid w:val="003F3F09"/>
    <w:rsid w:val="003F4647"/>
    <w:rsid w:val="00401707"/>
    <w:rsid w:val="0040217D"/>
    <w:rsid w:val="00402CC6"/>
    <w:rsid w:val="00403D6D"/>
    <w:rsid w:val="0041229B"/>
    <w:rsid w:val="00412ED7"/>
    <w:rsid w:val="00413B80"/>
    <w:rsid w:val="00416A72"/>
    <w:rsid w:val="0041700B"/>
    <w:rsid w:val="00417EE5"/>
    <w:rsid w:val="004241AC"/>
    <w:rsid w:val="0042485B"/>
    <w:rsid w:val="00425CD1"/>
    <w:rsid w:val="00427C8C"/>
    <w:rsid w:val="00427CD0"/>
    <w:rsid w:val="00427E48"/>
    <w:rsid w:val="0043096F"/>
    <w:rsid w:val="004320B8"/>
    <w:rsid w:val="00436EE4"/>
    <w:rsid w:val="0043730E"/>
    <w:rsid w:val="00437817"/>
    <w:rsid w:val="00441DBC"/>
    <w:rsid w:val="00441F9D"/>
    <w:rsid w:val="0044240A"/>
    <w:rsid w:val="00446E5C"/>
    <w:rsid w:val="004514CE"/>
    <w:rsid w:val="004519BA"/>
    <w:rsid w:val="00452C56"/>
    <w:rsid w:val="0045375B"/>
    <w:rsid w:val="00456CAE"/>
    <w:rsid w:val="00461F77"/>
    <w:rsid w:val="00462917"/>
    <w:rsid w:val="004663E6"/>
    <w:rsid w:val="00467741"/>
    <w:rsid w:val="00473D26"/>
    <w:rsid w:val="00474E06"/>
    <w:rsid w:val="00475B36"/>
    <w:rsid w:val="00475BCB"/>
    <w:rsid w:val="00476B0B"/>
    <w:rsid w:val="00476D34"/>
    <w:rsid w:val="00481723"/>
    <w:rsid w:val="00483116"/>
    <w:rsid w:val="00483AAC"/>
    <w:rsid w:val="004842B1"/>
    <w:rsid w:val="00484A01"/>
    <w:rsid w:val="00490CF9"/>
    <w:rsid w:val="00490DA9"/>
    <w:rsid w:val="0049477E"/>
    <w:rsid w:val="004961FF"/>
    <w:rsid w:val="004965B7"/>
    <w:rsid w:val="004A0370"/>
    <w:rsid w:val="004A264A"/>
    <w:rsid w:val="004A2821"/>
    <w:rsid w:val="004A325F"/>
    <w:rsid w:val="004A48D6"/>
    <w:rsid w:val="004A5D8D"/>
    <w:rsid w:val="004A7591"/>
    <w:rsid w:val="004B14EE"/>
    <w:rsid w:val="004B281B"/>
    <w:rsid w:val="004B4D83"/>
    <w:rsid w:val="004B5265"/>
    <w:rsid w:val="004B680A"/>
    <w:rsid w:val="004B6947"/>
    <w:rsid w:val="004C0929"/>
    <w:rsid w:val="004C2302"/>
    <w:rsid w:val="004C2E42"/>
    <w:rsid w:val="004C67E4"/>
    <w:rsid w:val="004C7DE9"/>
    <w:rsid w:val="004D0910"/>
    <w:rsid w:val="004D0A2E"/>
    <w:rsid w:val="004D444D"/>
    <w:rsid w:val="004E00E9"/>
    <w:rsid w:val="004E1E9D"/>
    <w:rsid w:val="004E3C67"/>
    <w:rsid w:val="004E3CDB"/>
    <w:rsid w:val="004E45F7"/>
    <w:rsid w:val="004E5F37"/>
    <w:rsid w:val="004E7237"/>
    <w:rsid w:val="004F0276"/>
    <w:rsid w:val="004F0813"/>
    <w:rsid w:val="004F2796"/>
    <w:rsid w:val="004F2857"/>
    <w:rsid w:val="004F2CCF"/>
    <w:rsid w:val="00501924"/>
    <w:rsid w:val="00501ADF"/>
    <w:rsid w:val="005022A5"/>
    <w:rsid w:val="00502327"/>
    <w:rsid w:val="005026B2"/>
    <w:rsid w:val="005055F2"/>
    <w:rsid w:val="00505823"/>
    <w:rsid w:val="0050583D"/>
    <w:rsid w:val="005068E4"/>
    <w:rsid w:val="00507F9A"/>
    <w:rsid w:val="005132A4"/>
    <w:rsid w:val="005136BA"/>
    <w:rsid w:val="00517452"/>
    <w:rsid w:val="0051753F"/>
    <w:rsid w:val="00517F35"/>
    <w:rsid w:val="0052053B"/>
    <w:rsid w:val="00520686"/>
    <w:rsid w:val="00521BDC"/>
    <w:rsid w:val="00521F45"/>
    <w:rsid w:val="00522F87"/>
    <w:rsid w:val="00523483"/>
    <w:rsid w:val="00526DBF"/>
    <w:rsid w:val="00527AB5"/>
    <w:rsid w:val="00527B59"/>
    <w:rsid w:val="005307BB"/>
    <w:rsid w:val="0053082A"/>
    <w:rsid w:val="00530D22"/>
    <w:rsid w:val="00531381"/>
    <w:rsid w:val="00531BB0"/>
    <w:rsid w:val="00534BD0"/>
    <w:rsid w:val="00537872"/>
    <w:rsid w:val="005379BB"/>
    <w:rsid w:val="00537DFD"/>
    <w:rsid w:val="0054118C"/>
    <w:rsid w:val="005418EE"/>
    <w:rsid w:val="005430B0"/>
    <w:rsid w:val="00543443"/>
    <w:rsid w:val="00543F8D"/>
    <w:rsid w:val="00546BDB"/>
    <w:rsid w:val="0055073B"/>
    <w:rsid w:val="00550C37"/>
    <w:rsid w:val="00551D46"/>
    <w:rsid w:val="00551E70"/>
    <w:rsid w:val="00552DA7"/>
    <w:rsid w:val="00554412"/>
    <w:rsid w:val="00554E26"/>
    <w:rsid w:val="005565EF"/>
    <w:rsid w:val="00557EC3"/>
    <w:rsid w:val="0056068F"/>
    <w:rsid w:val="00561C0B"/>
    <w:rsid w:val="0056263B"/>
    <w:rsid w:val="00563822"/>
    <w:rsid w:val="00564006"/>
    <w:rsid w:val="00564100"/>
    <w:rsid w:val="00565C47"/>
    <w:rsid w:val="005660E1"/>
    <w:rsid w:val="00566725"/>
    <w:rsid w:val="005710ED"/>
    <w:rsid w:val="00571854"/>
    <w:rsid w:val="00573C5A"/>
    <w:rsid w:val="00575824"/>
    <w:rsid w:val="00576CFD"/>
    <w:rsid w:val="00577603"/>
    <w:rsid w:val="00577D48"/>
    <w:rsid w:val="005813D6"/>
    <w:rsid w:val="00581468"/>
    <w:rsid w:val="005844C2"/>
    <w:rsid w:val="005849C4"/>
    <w:rsid w:val="0058602C"/>
    <w:rsid w:val="005876C7"/>
    <w:rsid w:val="005962A3"/>
    <w:rsid w:val="005967E7"/>
    <w:rsid w:val="00597230"/>
    <w:rsid w:val="005A1826"/>
    <w:rsid w:val="005A1CDD"/>
    <w:rsid w:val="005A2922"/>
    <w:rsid w:val="005A34BC"/>
    <w:rsid w:val="005A4CD2"/>
    <w:rsid w:val="005A5E45"/>
    <w:rsid w:val="005A62E8"/>
    <w:rsid w:val="005A6C50"/>
    <w:rsid w:val="005B1184"/>
    <w:rsid w:val="005B20CB"/>
    <w:rsid w:val="005B25F9"/>
    <w:rsid w:val="005B40F1"/>
    <w:rsid w:val="005B515B"/>
    <w:rsid w:val="005B587A"/>
    <w:rsid w:val="005B5A77"/>
    <w:rsid w:val="005B5C56"/>
    <w:rsid w:val="005B6882"/>
    <w:rsid w:val="005B75E5"/>
    <w:rsid w:val="005C0630"/>
    <w:rsid w:val="005C0D03"/>
    <w:rsid w:val="005C175C"/>
    <w:rsid w:val="005C262C"/>
    <w:rsid w:val="005C44EE"/>
    <w:rsid w:val="005C64F8"/>
    <w:rsid w:val="005C7D67"/>
    <w:rsid w:val="005C7E50"/>
    <w:rsid w:val="005D0E1F"/>
    <w:rsid w:val="005D18D8"/>
    <w:rsid w:val="005D2174"/>
    <w:rsid w:val="005D2ACC"/>
    <w:rsid w:val="005D52A1"/>
    <w:rsid w:val="005D61EC"/>
    <w:rsid w:val="005E17C6"/>
    <w:rsid w:val="005E3FDD"/>
    <w:rsid w:val="005E426A"/>
    <w:rsid w:val="005E50D9"/>
    <w:rsid w:val="005E5D6F"/>
    <w:rsid w:val="005E745B"/>
    <w:rsid w:val="005F02EE"/>
    <w:rsid w:val="005F04FC"/>
    <w:rsid w:val="005F2292"/>
    <w:rsid w:val="005F28AD"/>
    <w:rsid w:val="005F3BA9"/>
    <w:rsid w:val="005F501F"/>
    <w:rsid w:val="005F524B"/>
    <w:rsid w:val="005F56E7"/>
    <w:rsid w:val="005F67C1"/>
    <w:rsid w:val="005F7B1A"/>
    <w:rsid w:val="00600364"/>
    <w:rsid w:val="0060052F"/>
    <w:rsid w:val="0060091B"/>
    <w:rsid w:val="00604D2C"/>
    <w:rsid w:val="006058D3"/>
    <w:rsid w:val="00607554"/>
    <w:rsid w:val="0060767E"/>
    <w:rsid w:val="006100F5"/>
    <w:rsid w:val="00612A80"/>
    <w:rsid w:val="006133C4"/>
    <w:rsid w:val="00613DF9"/>
    <w:rsid w:val="00613E61"/>
    <w:rsid w:val="0061440F"/>
    <w:rsid w:val="00614DA0"/>
    <w:rsid w:val="00615391"/>
    <w:rsid w:val="00616F07"/>
    <w:rsid w:val="006202D3"/>
    <w:rsid w:val="006204CB"/>
    <w:rsid w:val="00620AD3"/>
    <w:rsid w:val="00620FCC"/>
    <w:rsid w:val="00622F20"/>
    <w:rsid w:val="00624595"/>
    <w:rsid w:val="00626750"/>
    <w:rsid w:val="00627E6A"/>
    <w:rsid w:val="00630ED6"/>
    <w:rsid w:val="0063372A"/>
    <w:rsid w:val="00634512"/>
    <w:rsid w:val="00634539"/>
    <w:rsid w:val="00634A6C"/>
    <w:rsid w:val="00635046"/>
    <w:rsid w:val="0063539D"/>
    <w:rsid w:val="0063618B"/>
    <w:rsid w:val="0063631F"/>
    <w:rsid w:val="00636966"/>
    <w:rsid w:val="006370A2"/>
    <w:rsid w:val="00637200"/>
    <w:rsid w:val="0063735E"/>
    <w:rsid w:val="00640734"/>
    <w:rsid w:val="0064097A"/>
    <w:rsid w:val="00642C2A"/>
    <w:rsid w:val="0064354D"/>
    <w:rsid w:val="00643BBA"/>
    <w:rsid w:val="00644C02"/>
    <w:rsid w:val="00646BBA"/>
    <w:rsid w:val="006470D2"/>
    <w:rsid w:val="00647177"/>
    <w:rsid w:val="006475B7"/>
    <w:rsid w:val="00651E41"/>
    <w:rsid w:val="00652475"/>
    <w:rsid w:val="00653B18"/>
    <w:rsid w:val="006544FD"/>
    <w:rsid w:val="00654ED7"/>
    <w:rsid w:val="006559E5"/>
    <w:rsid w:val="00660894"/>
    <w:rsid w:val="006613B2"/>
    <w:rsid w:val="006631D2"/>
    <w:rsid w:val="006647F0"/>
    <w:rsid w:val="00664ED1"/>
    <w:rsid w:val="00665DB2"/>
    <w:rsid w:val="006666BB"/>
    <w:rsid w:val="006670BB"/>
    <w:rsid w:val="006702BE"/>
    <w:rsid w:val="00670597"/>
    <w:rsid w:val="00670622"/>
    <w:rsid w:val="00670BAC"/>
    <w:rsid w:val="00671394"/>
    <w:rsid w:val="00671BC4"/>
    <w:rsid w:val="00672C13"/>
    <w:rsid w:val="00673285"/>
    <w:rsid w:val="00673B96"/>
    <w:rsid w:val="00675798"/>
    <w:rsid w:val="00681EC8"/>
    <w:rsid w:val="00682820"/>
    <w:rsid w:val="00684E88"/>
    <w:rsid w:val="0068604D"/>
    <w:rsid w:val="00686B3E"/>
    <w:rsid w:val="00690F5A"/>
    <w:rsid w:val="006910C5"/>
    <w:rsid w:val="006915CC"/>
    <w:rsid w:val="00692057"/>
    <w:rsid w:val="006934D8"/>
    <w:rsid w:val="00695FA1"/>
    <w:rsid w:val="0069647D"/>
    <w:rsid w:val="00697F33"/>
    <w:rsid w:val="006A154B"/>
    <w:rsid w:val="006A1AC4"/>
    <w:rsid w:val="006A2225"/>
    <w:rsid w:val="006A6077"/>
    <w:rsid w:val="006A63C8"/>
    <w:rsid w:val="006A6751"/>
    <w:rsid w:val="006A7E3F"/>
    <w:rsid w:val="006B2020"/>
    <w:rsid w:val="006B262A"/>
    <w:rsid w:val="006B2C97"/>
    <w:rsid w:val="006B5ED2"/>
    <w:rsid w:val="006B6ECF"/>
    <w:rsid w:val="006B72B8"/>
    <w:rsid w:val="006B7A73"/>
    <w:rsid w:val="006C298C"/>
    <w:rsid w:val="006C322E"/>
    <w:rsid w:val="006C3D02"/>
    <w:rsid w:val="006C6C42"/>
    <w:rsid w:val="006C771A"/>
    <w:rsid w:val="006C77F6"/>
    <w:rsid w:val="006D2D6C"/>
    <w:rsid w:val="006D2FA0"/>
    <w:rsid w:val="006D305F"/>
    <w:rsid w:val="006D36BA"/>
    <w:rsid w:val="006D512C"/>
    <w:rsid w:val="006D5E9A"/>
    <w:rsid w:val="006E2C95"/>
    <w:rsid w:val="006E4B65"/>
    <w:rsid w:val="006E4CE6"/>
    <w:rsid w:val="006E5A4B"/>
    <w:rsid w:val="006E734B"/>
    <w:rsid w:val="006E7B91"/>
    <w:rsid w:val="006F006C"/>
    <w:rsid w:val="006F1616"/>
    <w:rsid w:val="006F2B4B"/>
    <w:rsid w:val="006F66C4"/>
    <w:rsid w:val="006F7AA4"/>
    <w:rsid w:val="006F7D5C"/>
    <w:rsid w:val="00701A1E"/>
    <w:rsid w:val="007021D3"/>
    <w:rsid w:val="00703AE8"/>
    <w:rsid w:val="00704401"/>
    <w:rsid w:val="00705169"/>
    <w:rsid w:val="007052A4"/>
    <w:rsid w:val="0070564C"/>
    <w:rsid w:val="00705FC1"/>
    <w:rsid w:val="0070637D"/>
    <w:rsid w:val="00706B6F"/>
    <w:rsid w:val="00706E0D"/>
    <w:rsid w:val="0070738C"/>
    <w:rsid w:val="00707959"/>
    <w:rsid w:val="00707F89"/>
    <w:rsid w:val="00711A97"/>
    <w:rsid w:val="0071323D"/>
    <w:rsid w:val="00713A5C"/>
    <w:rsid w:val="00715DA4"/>
    <w:rsid w:val="00717506"/>
    <w:rsid w:val="00720359"/>
    <w:rsid w:val="00721777"/>
    <w:rsid w:val="00722781"/>
    <w:rsid w:val="00722E8B"/>
    <w:rsid w:val="00725489"/>
    <w:rsid w:val="007300ED"/>
    <w:rsid w:val="0073140A"/>
    <w:rsid w:val="0073355B"/>
    <w:rsid w:val="007337F1"/>
    <w:rsid w:val="00733960"/>
    <w:rsid w:val="00733EFE"/>
    <w:rsid w:val="00734114"/>
    <w:rsid w:val="0073615A"/>
    <w:rsid w:val="007434A9"/>
    <w:rsid w:val="007471FE"/>
    <w:rsid w:val="00747837"/>
    <w:rsid w:val="00747AC9"/>
    <w:rsid w:val="00750033"/>
    <w:rsid w:val="00752AB9"/>
    <w:rsid w:val="007536E4"/>
    <w:rsid w:val="00756E17"/>
    <w:rsid w:val="007573E4"/>
    <w:rsid w:val="0076128A"/>
    <w:rsid w:val="00761C9E"/>
    <w:rsid w:val="00761EDA"/>
    <w:rsid w:val="00762147"/>
    <w:rsid w:val="007633AA"/>
    <w:rsid w:val="00766115"/>
    <w:rsid w:val="007674C1"/>
    <w:rsid w:val="0077019B"/>
    <w:rsid w:val="00770215"/>
    <w:rsid w:val="00770455"/>
    <w:rsid w:val="00770541"/>
    <w:rsid w:val="00771213"/>
    <w:rsid w:val="007723FD"/>
    <w:rsid w:val="007726F5"/>
    <w:rsid w:val="00772D96"/>
    <w:rsid w:val="007768DA"/>
    <w:rsid w:val="0078137C"/>
    <w:rsid w:val="00782967"/>
    <w:rsid w:val="007833C4"/>
    <w:rsid w:val="00786474"/>
    <w:rsid w:val="00790DE8"/>
    <w:rsid w:val="00791877"/>
    <w:rsid w:val="00793036"/>
    <w:rsid w:val="00795628"/>
    <w:rsid w:val="00795C54"/>
    <w:rsid w:val="00795CB9"/>
    <w:rsid w:val="0079792F"/>
    <w:rsid w:val="007A07C4"/>
    <w:rsid w:val="007A0C72"/>
    <w:rsid w:val="007A0F77"/>
    <w:rsid w:val="007A117E"/>
    <w:rsid w:val="007A2A6C"/>
    <w:rsid w:val="007A3D61"/>
    <w:rsid w:val="007A4F75"/>
    <w:rsid w:val="007A69BC"/>
    <w:rsid w:val="007A7AB9"/>
    <w:rsid w:val="007A7C22"/>
    <w:rsid w:val="007B1A49"/>
    <w:rsid w:val="007B29D3"/>
    <w:rsid w:val="007B31BD"/>
    <w:rsid w:val="007B6588"/>
    <w:rsid w:val="007B69C3"/>
    <w:rsid w:val="007B7B4E"/>
    <w:rsid w:val="007C0B33"/>
    <w:rsid w:val="007C364B"/>
    <w:rsid w:val="007D029E"/>
    <w:rsid w:val="007D22B9"/>
    <w:rsid w:val="007D3244"/>
    <w:rsid w:val="007D6BCB"/>
    <w:rsid w:val="007D7BBB"/>
    <w:rsid w:val="007E0507"/>
    <w:rsid w:val="007E13C2"/>
    <w:rsid w:val="007E1F84"/>
    <w:rsid w:val="007E2B8A"/>
    <w:rsid w:val="007E308D"/>
    <w:rsid w:val="007E3D49"/>
    <w:rsid w:val="007E5714"/>
    <w:rsid w:val="007E7E60"/>
    <w:rsid w:val="007F0563"/>
    <w:rsid w:val="007F22C8"/>
    <w:rsid w:val="007F45FD"/>
    <w:rsid w:val="007F4DB5"/>
    <w:rsid w:val="007F5B5D"/>
    <w:rsid w:val="0080014F"/>
    <w:rsid w:val="00800943"/>
    <w:rsid w:val="00801B16"/>
    <w:rsid w:val="00801CFB"/>
    <w:rsid w:val="00801F9B"/>
    <w:rsid w:val="008027B9"/>
    <w:rsid w:val="00803757"/>
    <w:rsid w:val="00805565"/>
    <w:rsid w:val="00805A12"/>
    <w:rsid w:val="00812B50"/>
    <w:rsid w:val="00813D47"/>
    <w:rsid w:val="00817172"/>
    <w:rsid w:val="00817490"/>
    <w:rsid w:val="008179C6"/>
    <w:rsid w:val="00820830"/>
    <w:rsid w:val="008252B5"/>
    <w:rsid w:val="00826B16"/>
    <w:rsid w:val="00827D1A"/>
    <w:rsid w:val="00832B12"/>
    <w:rsid w:val="00833B96"/>
    <w:rsid w:val="0083447F"/>
    <w:rsid w:val="008356B8"/>
    <w:rsid w:val="0083662A"/>
    <w:rsid w:val="00840A11"/>
    <w:rsid w:val="00841BAA"/>
    <w:rsid w:val="008423F3"/>
    <w:rsid w:val="00845124"/>
    <w:rsid w:val="00845D6E"/>
    <w:rsid w:val="00847487"/>
    <w:rsid w:val="00847647"/>
    <w:rsid w:val="008476FD"/>
    <w:rsid w:val="00852C25"/>
    <w:rsid w:val="00857625"/>
    <w:rsid w:val="00857F7B"/>
    <w:rsid w:val="00861163"/>
    <w:rsid w:val="0086245C"/>
    <w:rsid w:val="00862659"/>
    <w:rsid w:val="008627A4"/>
    <w:rsid w:val="00863017"/>
    <w:rsid w:val="00863A29"/>
    <w:rsid w:val="00864C07"/>
    <w:rsid w:val="00864F55"/>
    <w:rsid w:val="0087024E"/>
    <w:rsid w:val="00875709"/>
    <w:rsid w:val="00875E98"/>
    <w:rsid w:val="00880550"/>
    <w:rsid w:val="00880AF0"/>
    <w:rsid w:val="008813C9"/>
    <w:rsid w:val="00881E82"/>
    <w:rsid w:val="00882420"/>
    <w:rsid w:val="008834EB"/>
    <w:rsid w:val="0088504A"/>
    <w:rsid w:val="0088600F"/>
    <w:rsid w:val="0088795B"/>
    <w:rsid w:val="00890E5C"/>
    <w:rsid w:val="00892E79"/>
    <w:rsid w:val="0089344B"/>
    <w:rsid w:val="00893902"/>
    <w:rsid w:val="0089435D"/>
    <w:rsid w:val="0089498C"/>
    <w:rsid w:val="00894B9E"/>
    <w:rsid w:val="008A131F"/>
    <w:rsid w:val="008A18B0"/>
    <w:rsid w:val="008A1F93"/>
    <w:rsid w:val="008A3ADF"/>
    <w:rsid w:val="008A417E"/>
    <w:rsid w:val="008A45C9"/>
    <w:rsid w:val="008A4C7D"/>
    <w:rsid w:val="008A73F1"/>
    <w:rsid w:val="008A7AC2"/>
    <w:rsid w:val="008B00E8"/>
    <w:rsid w:val="008B0623"/>
    <w:rsid w:val="008B26BD"/>
    <w:rsid w:val="008B3F9C"/>
    <w:rsid w:val="008B444F"/>
    <w:rsid w:val="008B46F7"/>
    <w:rsid w:val="008B6A5E"/>
    <w:rsid w:val="008B6D83"/>
    <w:rsid w:val="008C211F"/>
    <w:rsid w:val="008C372A"/>
    <w:rsid w:val="008C3E5D"/>
    <w:rsid w:val="008C72CE"/>
    <w:rsid w:val="008D1008"/>
    <w:rsid w:val="008D1064"/>
    <w:rsid w:val="008D1F0F"/>
    <w:rsid w:val="008D37F6"/>
    <w:rsid w:val="008D541E"/>
    <w:rsid w:val="008D668F"/>
    <w:rsid w:val="008D7328"/>
    <w:rsid w:val="008D7C1F"/>
    <w:rsid w:val="008E01ED"/>
    <w:rsid w:val="008E0275"/>
    <w:rsid w:val="008E045B"/>
    <w:rsid w:val="008E1827"/>
    <w:rsid w:val="008E41CB"/>
    <w:rsid w:val="008E5300"/>
    <w:rsid w:val="008E6315"/>
    <w:rsid w:val="008E6EFF"/>
    <w:rsid w:val="008E6FB2"/>
    <w:rsid w:val="008F0B97"/>
    <w:rsid w:val="008F0CE1"/>
    <w:rsid w:val="008F13FA"/>
    <w:rsid w:val="008F58B9"/>
    <w:rsid w:val="008F5E5F"/>
    <w:rsid w:val="0090022E"/>
    <w:rsid w:val="009006FD"/>
    <w:rsid w:val="00900B3A"/>
    <w:rsid w:val="00902A89"/>
    <w:rsid w:val="009064D4"/>
    <w:rsid w:val="0091021C"/>
    <w:rsid w:val="00910BCD"/>
    <w:rsid w:val="00910C10"/>
    <w:rsid w:val="009117E3"/>
    <w:rsid w:val="00912C10"/>
    <w:rsid w:val="00912ECC"/>
    <w:rsid w:val="009149FE"/>
    <w:rsid w:val="0091589D"/>
    <w:rsid w:val="0091592A"/>
    <w:rsid w:val="00920499"/>
    <w:rsid w:val="0092150C"/>
    <w:rsid w:val="009215FD"/>
    <w:rsid w:val="00921867"/>
    <w:rsid w:val="00923DEF"/>
    <w:rsid w:val="00923EBC"/>
    <w:rsid w:val="0092527F"/>
    <w:rsid w:val="00925B7E"/>
    <w:rsid w:val="00927EA1"/>
    <w:rsid w:val="00927EED"/>
    <w:rsid w:val="00931A2D"/>
    <w:rsid w:val="00931FA9"/>
    <w:rsid w:val="009340FB"/>
    <w:rsid w:val="00934503"/>
    <w:rsid w:val="00937796"/>
    <w:rsid w:val="0093780F"/>
    <w:rsid w:val="009406FE"/>
    <w:rsid w:val="0094282D"/>
    <w:rsid w:val="0094495E"/>
    <w:rsid w:val="00945BF2"/>
    <w:rsid w:val="00946AF5"/>
    <w:rsid w:val="00947CB2"/>
    <w:rsid w:val="0095172B"/>
    <w:rsid w:val="00951A02"/>
    <w:rsid w:val="00951AD5"/>
    <w:rsid w:val="00952D62"/>
    <w:rsid w:val="00953F08"/>
    <w:rsid w:val="0095424D"/>
    <w:rsid w:val="0095425D"/>
    <w:rsid w:val="009550F7"/>
    <w:rsid w:val="00956E45"/>
    <w:rsid w:val="009602E5"/>
    <w:rsid w:val="00960463"/>
    <w:rsid w:val="0096175C"/>
    <w:rsid w:val="00961B82"/>
    <w:rsid w:val="00962783"/>
    <w:rsid w:val="00963CC2"/>
    <w:rsid w:val="009660A2"/>
    <w:rsid w:val="009673CA"/>
    <w:rsid w:val="00967FB5"/>
    <w:rsid w:val="0097083D"/>
    <w:rsid w:val="00971A23"/>
    <w:rsid w:val="009751F1"/>
    <w:rsid w:val="00975A97"/>
    <w:rsid w:val="009761E6"/>
    <w:rsid w:val="00976365"/>
    <w:rsid w:val="00976FBA"/>
    <w:rsid w:val="00980351"/>
    <w:rsid w:val="00980F15"/>
    <w:rsid w:val="0098389D"/>
    <w:rsid w:val="0098461B"/>
    <w:rsid w:val="0098522D"/>
    <w:rsid w:val="00985319"/>
    <w:rsid w:val="00990305"/>
    <w:rsid w:val="00991723"/>
    <w:rsid w:val="0099187E"/>
    <w:rsid w:val="0099243C"/>
    <w:rsid w:val="00993CA1"/>
    <w:rsid w:val="0099424B"/>
    <w:rsid w:val="0099454D"/>
    <w:rsid w:val="009A55A6"/>
    <w:rsid w:val="009A76AE"/>
    <w:rsid w:val="009B3DF7"/>
    <w:rsid w:val="009B3E4D"/>
    <w:rsid w:val="009B5003"/>
    <w:rsid w:val="009B6595"/>
    <w:rsid w:val="009B76E1"/>
    <w:rsid w:val="009C2A01"/>
    <w:rsid w:val="009C540A"/>
    <w:rsid w:val="009C6A1C"/>
    <w:rsid w:val="009D1FCE"/>
    <w:rsid w:val="009D22D5"/>
    <w:rsid w:val="009D380B"/>
    <w:rsid w:val="009D3BB4"/>
    <w:rsid w:val="009D3DC6"/>
    <w:rsid w:val="009D6544"/>
    <w:rsid w:val="009E113F"/>
    <w:rsid w:val="009E1609"/>
    <w:rsid w:val="009E2843"/>
    <w:rsid w:val="009E2943"/>
    <w:rsid w:val="009E480A"/>
    <w:rsid w:val="009E6533"/>
    <w:rsid w:val="009F0A1A"/>
    <w:rsid w:val="009F2B9F"/>
    <w:rsid w:val="009F3C65"/>
    <w:rsid w:val="009F45BC"/>
    <w:rsid w:val="009F6273"/>
    <w:rsid w:val="009F703C"/>
    <w:rsid w:val="00A00FA4"/>
    <w:rsid w:val="00A015EB"/>
    <w:rsid w:val="00A04DA2"/>
    <w:rsid w:val="00A05AAC"/>
    <w:rsid w:val="00A07EB4"/>
    <w:rsid w:val="00A106B6"/>
    <w:rsid w:val="00A11751"/>
    <w:rsid w:val="00A13026"/>
    <w:rsid w:val="00A14C88"/>
    <w:rsid w:val="00A155A3"/>
    <w:rsid w:val="00A20AC7"/>
    <w:rsid w:val="00A20DE4"/>
    <w:rsid w:val="00A22078"/>
    <w:rsid w:val="00A2209B"/>
    <w:rsid w:val="00A245C0"/>
    <w:rsid w:val="00A254E0"/>
    <w:rsid w:val="00A25D17"/>
    <w:rsid w:val="00A26B32"/>
    <w:rsid w:val="00A3107B"/>
    <w:rsid w:val="00A311EE"/>
    <w:rsid w:val="00A34088"/>
    <w:rsid w:val="00A34D2E"/>
    <w:rsid w:val="00A35B64"/>
    <w:rsid w:val="00A36686"/>
    <w:rsid w:val="00A368ED"/>
    <w:rsid w:val="00A36941"/>
    <w:rsid w:val="00A36FE4"/>
    <w:rsid w:val="00A40073"/>
    <w:rsid w:val="00A42908"/>
    <w:rsid w:val="00A440A4"/>
    <w:rsid w:val="00A44951"/>
    <w:rsid w:val="00A44D6A"/>
    <w:rsid w:val="00A44E79"/>
    <w:rsid w:val="00A45DDD"/>
    <w:rsid w:val="00A5406B"/>
    <w:rsid w:val="00A541E1"/>
    <w:rsid w:val="00A55963"/>
    <w:rsid w:val="00A60CCB"/>
    <w:rsid w:val="00A63A52"/>
    <w:rsid w:val="00A640D2"/>
    <w:rsid w:val="00A64D62"/>
    <w:rsid w:val="00A65A5C"/>
    <w:rsid w:val="00A675B6"/>
    <w:rsid w:val="00A71249"/>
    <w:rsid w:val="00A7178F"/>
    <w:rsid w:val="00A729D4"/>
    <w:rsid w:val="00A729EF"/>
    <w:rsid w:val="00A729F5"/>
    <w:rsid w:val="00A72C7F"/>
    <w:rsid w:val="00A7594A"/>
    <w:rsid w:val="00A76E52"/>
    <w:rsid w:val="00A772EC"/>
    <w:rsid w:val="00A800CF"/>
    <w:rsid w:val="00A80D01"/>
    <w:rsid w:val="00A80DB5"/>
    <w:rsid w:val="00A83446"/>
    <w:rsid w:val="00A83E97"/>
    <w:rsid w:val="00A84964"/>
    <w:rsid w:val="00A84AF3"/>
    <w:rsid w:val="00A85403"/>
    <w:rsid w:val="00A87DD7"/>
    <w:rsid w:val="00A9026A"/>
    <w:rsid w:val="00A90DD6"/>
    <w:rsid w:val="00A915C1"/>
    <w:rsid w:val="00A95AEC"/>
    <w:rsid w:val="00A97E6B"/>
    <w:rsid w:val="00AA0078"/>
    <w:rsid w:val="00AA11FA"/>
    <w:rsid w:val="00AA128A"/>
    <w:rsid w:val="00AA22F0"/>
    <w:rsid w:val="00AA2AFE"/>
    <w:rsid w:val="00AA302B"/>
    <w:rsid w:val="00AA5303"/>
    <w:rsid w:val="00AB09A1"/>
    <w:rsid w:val="00AB0DEE"/>
    <w:rsid w:val="00AB13D1"/>
    <w:rsid w:val="00AB1F25"/>
    <w:rsid w:val="00AB47DC"/>
    <w:rsid w:val="00AC1E31"/>
    <w:rsid w:val="00AC2161"/>
    <w:rsid w:val="00AC2E0F"/>
    <w:rsid w:val="00AC45E1"/>
    <w:rsid w:val="00AC72FA"/>
    <w:rsid w:val="00AD1C99"/>
    <w:rsid w:val="00AD4E79"/>
    <w:rsid w:val="00AD7003"/>
    <w:rsid w:val="00AD7548"/>
    <w:rsid w:val="00AD7792"/>
    <w:rsid w:val="00AE6794"/>
    <w:rsid w:val="00AE6E78"/>
    <w:rsid w:val="00AE7CFC"/>
    <w:rsid w:val="00AF0E85"/>
    <w:rsid w:val="00AF10DF"/>
    <w:rsid w:val="00AF1768"/>
    <w:rsid w:val="00AF2676"/>
    <w:rsid w:val="00AF2E0D"/>
    <w:rsid w:val="00AF3FEB"/>
    <w:rsid w:val="00AF55E6"/>
    <w:rsid w:val="00AF565E"/>
    <w:rsid w:val="00AF5E34"/>
    <w:rsid w:val="00AF5F83"/>
    <w:rsid w:val="00AF6414"/>
    <w:rsid w:val="00AF6D63"/>
    <w:rsid w:val="00AF6DD3"/>
    <w:rsid w:val="00AF6E58"/>
    <w:rsid w:val="00AF6F4C"/>
    <w:rsid w:val="00AF74C8"/>
    <w:rsid w:val="00B0018B"/>
    <w:rsid w:val="00B0112D"/>
    <w:rsid w:val="00B01234"/>
    <w:rsid w:val="00B05189"/>
    <w:rsid w:val="00B1465C"/>
    <w:rsid w:val="00B1527C"/>
    <w:rsid w:val="00B16090"/>
    <w:rsid w:val="00B1633D"/>
    <w:rsid w:val="00B170A5"/>
    <w:rsid w:val="00B20097"/>
    <w:rsid w:val="00B231F2"/>
    <w:rsid w:val="00B259AA"/>
    <w:rsid w:val="00B25CE0"/>
    <w:rsid w:val="00B26D2B"/>
    <w:rsid w:val="00B274E0"/>
    <w:rsid w:val="00B30388"/>
    <w:rsid w:val="00B306BB"/>
    <w:rsid w:val="00B30F5F"/>
    <w:rsid w:val="00B31945"/>
    <w:rsid w:val="00B334A5"/>
    <w:rsid w:val="00B34837"/>
    <w:rsid w:val="00B349CB"/>
    <w:rsid w:val="00B3577A"/>
    <w:rsid w:val="00B35F10"/>
    <w:rsid w:val="00B366E6"/>
    <w:rsid w:val="00B3776A"/>
    <w:rsid w:val="00B378C6"/>
    <w:rsid w:val="00B37906"/>
    <w:rsid w:val="00B44E0D"/>
    <w:rsid w:val="00B44E3D"/>
    <w:rsid w:val="00B45BEB"/>
    <w:rsid w:val="00B509BA"/>
    <w:rsid w:val="00B52BA5"/>
    <w:rsid w:val="00B53AD3"/>
    <w:rsid w:val="00B56B6A"/>
    <w:rsid w:val="00B57247"/>
    <w:rsid w:val="00B57C47"/>
    <w:rsid w:val="00B6392A"/>
    <w:rsid w:val="00B646EE"/>
    <w:rsid w:val="00B6779A"/>
    <w:rsid w:val="00B70395"/>
    <w:rsid w:val="00B70A52"/>
    <w:rsid w:val="00B71038"/>
    <w:rsid w:val="00B71F3D"/>
    <w:rsid w:val="00B723FC"/>
    <w:rsid w:val="00B73291"/>
    <w:rsid w:val="00B764B4"/>
    <w:rsid w:val="00B805E2"/>
    <w:rsid w:val="00B80D23"/>
    <w:rsid w:val="00B830E0"/>
    <w:rsid w:val="00B85AB0"/>
    <w:rsid w:val="00B85D32"/>
    <w:rsid w:val="00B86CD1"/>
    <w:rsid w:val="00B87310"/>
    <w:rsid w:val="00B90DC4"/>
    <w:rsid w:val="00B90F25"/>
    <w:rsid w:val="00B959E5"/>
    <w:rsid w:val="00B96B5D"/>
    <w:rsid w:val="00BA3849"/>
    <w:rsid w:val="00BA7820"/>
    <w:rsid w:val="00BB008E"/>
    <w:rsid w:val="00BB05BD"/>
    <w:rsid w:val="00BB1DCB"/>
    <w:rsid w:val="00BB637B"/>
    <w:rsid w:val="00BC4DD7"/>
    <w:rsid w:val="00BC54FD"/>
    <w:rsid w:val="00BC6672"/>
    <w:rsid w:val="00BC6ECB"/>
    <w:rsid w:val="00BC6F0F"/>
    <w:rsid w:val="00BC6FD5"/>
    <w:rsid w:val="00BD0BF8"/>
    <w:rsid w:val="00BD19DE"/>
    <w:rsid w:val="00BD1BE0"/>
    <w:rsid w:val="00BD20DF"/>
    <w:rsid w:val="00BD3627"/>
    <w:rsid w:val="00BD3DF7"/>
    <w:rsid w:val="00BD3FD4"/>
    <w:rsid w:val="00BD4549"/>
    <w:rsid w:val="00BD5F8A"/>
    <w:rsid w:val="00BD7EFC"/>
    <w:rsid w:val="00BE0F78"/>
    <w:rsid w:val="00BE2570"/>
    <w:rsid w:val="00BE55A9"/>
    <w:rsid w:val="00BE6EB1"/>
    <w:rsid w:val="00BE71C9"/>
    <w:rsid w:val="00BF1A63"/>
    <w:rsid w:val="00BF22E0"/>
    <w:rsid w:val="00BF2357"/>
    <w:rsid w:val="00BF3BFB"/>
    <w:rsid w:val="00BF4531"/>
    <w:rsid w:val="00BF4CBA"/>
    <w:rsid w:val="00BF4E7E"/>
    <w:rsid w:val="00BF570D"/>
    <w:rsid w:val="00C01631"/>
    <w:rsid w:val="00C0279E"/>
    <w:rsid w:val="00C02989"/>
    <w:rsid w:val="00C02D77"/>
    <w:rsid w:val="00C03E08"/>
    <w:rsid w:val="00C04329"/>
    <w:rsid w:val="00C04764"/>
    <w:rsid w:val="00C04D1A"/>
    <w:rsid w:val="00C05940"/>
    <w:rsid w:val="00C05D9C"/>
    <w:rsid w:val="00C075A6"/>
    <w:rsid w:val="00C077BB"/>
    <w:rsid w:val="00C10231"/>
    <w:rsid w:val="00C1072A"/>
    <w:rsid w:val="00C11166"/>
    <w:rsid w:val="00C165DB"/>
    <w:rsid w:val="00C16BEB"/>
    <w:rsid w:val="00C215FE"/>
    <w:rsid w:val="00C2424F"/>
    <w:rsid w:val="00C24CBC"/>
    <w:rsid w:val="00C25BDF"/>
    <w:rsid w:val="00C2600E"/>
    <w:rsid w:val="00C26DD4"/>
    <w:rsid w:val="00C30798"/>
    <w:rsid w:val="00C30DAE"/>
    <w:rsid w:val="00C31E6D"/>
    <w:rsid w:val="00C32245"/>
    <w:rsid w:val="00C33290"/>
    <w:rsid w:val="00C335DB"/>
    <w:rsid w:val="00C35327"/>
    <w:rsid w:val="00C3777B"/>
    <w:rsid w:val="00C43026"/>
    <w:rsid w:val="00C430C8"/>
    <w:rsid w:val="00C43C7A"/>
    <w:rsid w:val="00C44369"/>
    <w:rsid w:val="00C474F0"/>
    <w:rsid w:val="00C517A1"/>
    <w:rsid w:val="00C52F1B"/>
    <w:rsid w:val="00C56128"/>
    <w:rsid w:val="00C575B0"/>
    <w:rsid w:val="00C628EB"/>
    <w:rsid w:val="00C629EC"/>
    <w:rsid w:val="00C62DA2"/>
    <w:rsid w:val="00C6670E"/>
    <w:rsid w:val="00C66994"/>
    <w:rsid w:val="00C66AE5"/>
    <w:rsid w:val="00C66C53"/>
    <w:rsid w:val="00C66C6B"/>
    <w:rsid w:val="00C70ABE"/>
    <w:rsid w:val="00C7103E"/>
    <w:rsid w:val="00C7223B"/>
    <w:rsid w:val="00C777B4"/>
    <w:rsid w:val="00C803AF"/>
    <w:rsid w:val="00C822AD"/>
    <w:rsid w:val="00C95336"/>
    <w:rsid w:val="00C95DA7"/>
    <w:rsid w:val="00C9664D"/>
    <w:rsid w:val="00C96B34"/>
    <w:rsid w:val="00C972AC"/>
    <w:rsid w:val="00CA0F2D"/>
    <w:rsid w:val="00CA238D"/>
    <w:rsid w:val="00CA327F"/>
    <w:rsid w:val="00CA388A"/>
    <w:rsid w:val="00CA4E8F"/>
    <w:rsid w:val="00CA72DA"/>
    <w:rsid w:val="00CA77F6"/>
    <w:rsid w:val="00CB4BAB"/>
    <w:rsid w:val="00CB74C0"/>
    <w:rsid w:val="00CC039D"/>
    <w:rsid w:val="00CC2DEA"/>
    <w:rsid w:val="00CC6D99"/>
    <w:rsid w:val="00CD0687"/>
    <w:rsid w:val="00CD20E3"/>
    <w:rsid w:val="00CD220C"/>
    <w:rsid w:val="00CD35B0"/>
    <w:rsid w:val="00CD499E"/>
    <w:rsid w:val="00CD4B54"/>
    <w:rsid w:val="00CE0DC0"/>
    <w:rsid w:val="00CE0E44"/>
    <w:rsid w:val="00CE15A9"/>
    <w:rsid w:val="00CE2C5B"/>
    <w:rsid w:val="00CE35EE"/>
    <w:rsid w:val="00CF2D78"/>
    <w:rsid w:val="00CF372B"/>
    <w:rsid w:val="00CF59BC"/>
    <w:rsid w:val="00CF5F18"/>
    <w:rsid w:val="00D01E92"/>
    <w:rsid w:val="00D04D4E"/>
    <w:rsid w:val="00D053F7"/>
    <w:rsid w:val="00D11059"/>
    <w:rsid w:val="00D1105D"/>
    <w:rsid w:val="00D12041"/>
    <w:rsid w:val="00D14FE4"/>
    <w:rsid w:val="00D15F1D"/>
    <w:rsid w:val="00D1699D"/>
    <w:rsid w:val="00D20D4E"/>
    <w:rsid w:val="00D22D97"/>
    <w:rsid w:val="00D2305A"/>
    <w:rsid w:val="00D24170"/>
    <w:rsid w:val="00D24CE6"/>
    <w:rsid w:val="00D259E0"/>
    <w:rsid w:val="00D2654D"/>
    <w:rsid w:val="00D27D3D"/>
    <w:rsid w:val="00D30BBB"/>
    <w:rsid w:val="00D32A4D"/>
    <w:rsid w:val="00D36614"/>
    <w:rsid w:val="00D40BC2"/>
    <w:rsid w:val="00D40BE4"/>
    <w:rsid w:val="00D40E39"/>
    <w:rsid w:val="00D41B65"/>
    <w:rsid w:val="00D44FC6"/>
    <w:rsid w:val="00D4514A"/>
    <w:rsid w:val="00D45A92"/>
    <w:rsid w:val="00D46080"/>
    <w:rsid w:val="00D464F0"/>
    <w:rsid w:val="00D4776B"/>
    <w:rsid w:val="00D47952"/>
    <w:rsid w:val="00D47ADD"/>
    <w:rsid w:val="00D51539"/>
    <w:rsid w:val="00D518C6"/>
    <w:rsid w:val="00D535D5"/>
    <w:rsid w:val="00D60525"/>
    <w:rsid w:val="00D60F2A"/>
    <w:rsid w:val="00D61FE0"/>
    <w:rsid w:val="00D627CB"/>
    <w:rsid w:val="00D62CBA"/>
    <w:rsid w:val="00D634D7"/>
    <w:rsid w:val="00D642BC"/>
    <w:rsid w:val="00D64D49"/>
    <w:rsid w:val="00D657F3"/>
    <w:rsid w:val="00D6745F"/>
    <w:rsid w:val="00D6752C"/>
    <w:rsid w:val="00D67C3B"/>
    <w:rsid w:val="00D70DE8"/>
    <w:rsid w:val="00D7158A"/>
    <w:rsid w:val="00D716F3"/>
    <w:rsid w:val="00D7254A"/>
    <w:rsid w:val="00D72A12"/>
    <w:rsid w:val="00D74666"/>
    <w:rsid w:val="00D7588B"/>
    <w:rsid w:val="00D75FDC"/>
    <w:rsid w:val="00D7689F"/>
    <w:rsid w:val="00D76964"/>
    <w:rsid w:val="00D77385"/>
    <w:rsid w:val="00D779D6"/>
    <w:rsid w:val="00D8368E"/>
    <w:rsid w:val="00D86F20"/>
    <w:rsid w:val="00D9299C"/>
    <w:rsid w:val="00D93A1E"/>
    <w:rsid w:val="00D9459B"/>
    <w:rsid w:val="00D969EC"/>
    <w:rsid w:val="00DA027B"/>
    <w:rsid w:val="00DA0CCE"/>
    <w:rsid w:val="00DA0E79"/>
    <w:rsid w:val="00DA1322"/>
    <w:rsid w:val="00DA2BF1"/>
    <w:rsid w:val="00DA3C01"/>
    <w:rsid w:val="00DA601F"/>
    <w:rsid w:val="00DA6FD5"/>
    <w:rsid w:val="00DB0DAF"/>
    <w:rsid w:val="00DB33DC"/>
    <w:rsid w:val="00DB7439"/>
    <w:rsid w:val="00DC18E2"/>
    <w:rsid w:val="00DC196C"/>
    <w:rsid w:val="00DC1E28"/>
    <w:rsid w:val="00DC250C"/>
    <w:rsid w:val="00DC5E40"/>
    <w:rsid w:val="00DC6ADE"/>
    <w:rsid w:val="00DC6BEA"/>
    <w:rsid w:val="00DD43EC"/>
    <w:rsid w:val="00DD690D"/>
    <w:rsid w:val="00DE1500"/>
    <w:rsid w:val="00DE28AA"/>
    <w:rsid w:val="00DE2D2A"/>
    <w:rsid w:val="00DE3C03"/>
    <w:rsid w:val="00DE4493"/>
    <w:rsid w:val="00DE4557"/>
    <w:rsid w:val="00DE48FA"/>
    <w:rsid w:val="00DE6003"/>
    <w:rsid w:val="00DE7454"/>
    <w:rsid w:val="00DF0463"/>
    <w:rsid w:val="00DF1769"/>
    <w:rsid w:val="00DF1D1F"/>
    <w:rsid w:val="00DF1D33"/>
    <w:rsid w:val="00DF27CA"/>
    <w:rsid w:val="00DF39AC"/>
    <w:rsid w:val="00DF4A2E"/>
    <w:rsid w:val="00DF5289"/>
    <w:rsid w:val="00DF5B9A"/>
    <w:rsid w:val="00DF74A5"/>
    <w:rsid w:val="00E02292"/>
    <w:rsid w:val="00E02F97"/>
    <w:rsid w:val="00E0305D"/>
    <w:rsid w:val="00E035DE"/>
    <w:rsid w:val="00E040A5"/>
    <w:rsid w:val="00E06726"/>
    <w:rsid w:val="00E07968"/>
    <w:rsid w:val="00E1016C"/>
    <w:rsid w:val="00E12272"/>
    <w:rsid w:val="00E124EB"/>
    <w:rsid w:val="00E124F3"/>
    <w:rsid w:val="00E127AF"/>
    <w:rsid w:val="00E130E3"/>
    <w:rsid w:val="00E149D9"/>
    <w:rsid w:val="00E14E41"/>
    <w:rsid w:val="00E153F9"/>
    <w:rsid w:val="00E20D08"/>
    <w:rsid w:val="00E21382"/>
    <w:rsid w:val="00E22B56"/>
    <w:rsid w:val="00E246E5"/>
    <w:rsid w:val="00E248AA"/>
    <w:rsid w:val="00E255FF"/>
    <w:rsid w:val="00E26167"/>
    <w:rsid w:val="00E2791E"/>
    <w:rsid w:val="00E30B5C"/>
    <w:rsid w:val="00E30E94"/>
    <w:rsid w:val="00E318DB"/>
    <w:rsid w:val="00E327B3"/>
    <w:rsid w:val="00E32B77"/>
    <w:rsid w:val="00E32D42"/>
    <w:rsid w:val="00E3307C"/>
    <w:rsid w:val="00E33ADC"/>
    <w:rsid w:val="00E34945"/>
    <w:rsid w:val="00E35207"/>
    <w:rsid w:val="00E36459"/>
    <w:rsid w:val="00E4071C"/>
    <w:rsid w:val="00E40F5B"/>
    <w:rsid w:val="00E45CC7"/>
    <w:rsid w:val="00E46E4F"/>
    <w:rsid w:val="00E47BD1"/>
    <w:rsid w:val="00E501CD"/>
    <w:rsid w:val="00E506AC"/>
    <w:rsid w:val="00E543D8"/>
    <w:rsid w:val="00E551FE"/>
    <w:rsid w:val="00E5571B"/>
    <w:rsid w:val="00E55CF9"/>
    <w:rsid w:val="00E563C2"/>
    <w:rsid w:val="00E57D3E"/>
    <w:rsid w:val="00E60A18"/>
    <w:rsid w:val="00E60CF9"/>
    <w:rsid w:val="00E6113E"/>
    <w:rsid w:val="00E6194A"/>
    <w:rsid w:val="00E61A65"/>
    <w:rsid w:val="00E6281E"/>
    <w:rsid w:val="00E639EA"/>
    <w:rsid w:val="00E643EC"/>
    <w:rsid w:val="00E66EAA"/>
    <w:rsid w:val="00E70DFF"/>
    <w:rsid w:val="00E714D7"/>
    <w:rsid w:val="00E72F40"/>
    <w:rsid w:val="00E73909"/>
    <w:rsid w:val="00E745FC"/>
    <w:rsid w:val="00E74D3B"/>
    <w:rsid w:val="00E7591B"/>
    <w:rsid w:val="00E766CA"/>
    <w:rsid w:val="00E7720E"/>
    <w:rsid w:val="00E803A1"/>
    <w:rsid w:val="00E8150E"/>
    <w:rsid w:val="00E83C4F"/>
    <w:rsid w:val="00E87360"/>
    <w:rsid w:val="00E901DB"/>
    <w:rsid w:val="00E90AD2"/>
    <w:rsid w:val="00E90C4C"/>
    <w:rsid w:val="00E92B50"/>
    <w:rsid w:val="00E958FB"/>
    <w:rsid w:val="00E96DA6"/>
    <w:rsid w:val="00EA043F"/>
    <w:rsid w:val="00EA146A"/>
    <w:rsid w:val="00EA4DB5"/>
    <w:rsid w:val="00EA747A"/>
    <w:rsid w:val="00EB076A"/>
    <w:rsid w:val="00EB0A16"/>
    <w:rsid w:val="00EB118E"/>
    <w:rsid w:val="00EB13EF"/>
    <w:rsid w:val="00EB405A"/>
    <w:rsid w:val="00EB6BCD"/>
    <w:rsid w:val="00EB77EC"/>
    <w:rsid w:val="00EC0697"/>
    <w:rsid w:val="00EC40A8"/>
    <w:rsid w:val="00EC4F4E"/>
    <w:rsid w:val="00EC57AE"/>
    <w:rsid w:val="00ED03D8"/>
    <w:rsid w:val="00ED0458"/>
    <w:rsid w:val="00ED0FC6"/>
    <w:rsid w:val="00ED3387"/>
    <w:rsid w:val="00ED3E80"/>
    <w:rsid w:val="00ED5839"/>
    <w:rsid w:val="00ED6BF8"/>
    <w:rsid w:val="00ED6D58"/>
    <w:rsid w:val="00EE0E91"/>
    <w:rsid w:val="00EE12DF"/>
    <w:rsid w:val="00EE345F"/>
    <w:rsid w:val="00EE3830"/>
    <w:rsid w:val="00EE6B99"/>
    <w:rsid w:val="00EE7BD6"/>
    <w:rsid w:val="00EF057B"/>
    <w:rsid w:val="00EF1004"/>
    <w:rsid w:val="00EF41FD"/>
    <w:rsid w:val="00EF5E3D"/>
    <w:rsid w:val="00EF6636"/>
    <w:rsid w:val="00EF6EBE"/>
    <w:rsid w:val="00F051D2"/>
    <w:rsid w:val="00F10F0C"/>
    <w:rsid w:val="00F13B25"/>
    <w:rsid w:val="00F16B5B"/>
    <w:rsid w:val="00F16C77"/>
    <w:rsid w:val="00F20368"/>
    <w:rsid w:val="00F205A3"/>
    <w:rsid w:val="00F22375"/>
    <w:rsid w:val="00F231F5"/>
    <w:rsid w:val="00F23DFC"/>
    <w:rsid w:val="00F248D1"/>
    <w:rsid w:val="00F25188"/>
    <w:rsid w:val="00F25554"/>
    <w:rsid w:val="00F27431"/>
    <w:rsid w:val="00F27B2B"/>
    <w:rsid w:val="00F341CA"/>
    <w:rsid w:val="00F346E7"/>
    <w:rsid w:val="00F34CAE"/>
    <w:rsid w:val="00F37AB9"/>
    <w:rsid w:val="00F403BC"/>
    <w:rsid w:val="00F43989"/>
    <w:rsid w:val="00F44ECC"/>
    <w:rsid w:val="00F52D6E"/>
    <w:rsid w:val="00F55443"/>
    <w:rsid w:val="00F60817"/>
    <w:rsid w:val="00F60CA5"/>
    <w:rsid w:val="00F61E26"/>
    <w:rsid w:val="00F65368"/>
    <w:rsid w:val="00F65E17"/>
    <w:rsid w:val="00F66332"/>
    <w:rsid w:val="00F706D0"/>
    <w:rsid w:val="00F70888"/>
    <w:rsid w:val="00F7127E"/>
    <w:rsid w:val="00F73AA6"/>
    <w:rsid w:val="00F73FAF"/>
    <w:rsid w:val="00F744C1"/>
    <w:rsid w:val="00F74EC1"/>
    <w:rsid w:val="00F76412"/>
    <w:rsid w:val="00F8095D"/>
    <w:rsid w:val="00F81B4C"/>
    <w:rsid w:val="00F825AF"/>
    <w:rsid w:val="00F83E43"/>
    <w:rsid w:val="00F85CFE"/>
    <w:rsid w:val="00F85F3A"/>
    <w:rsid w:val="00F86549"/>
    <w:rsid w:val="00F869C1"/>
    <w:rsid w:val="00F877DE"/>
    <w:rsid w:val="00F90967"/>
    <w:rsid w:val="00F9175D"/>
    <w:rsid w:val="00F91991"/>
    <w:rsid w:val="00F93603"/>
    <w:rsid w:val="00FA2247"/>
    <w:rsid w:val="00FA24DB"/>
    <w:rsid w:val="00FA3501"/>
    <w:rsid w:val="00FB03BB"/>
    <w:rsid w:val="00FB04B7"/>
    <w:rsid w:val="00FB0B34"/>
    <w:rsid w:val="00FB2746"/>
    <w:rsid w:val="00FB298D"/>
    <w:rsid w:val="00FB29C2"/>
    <w:rsid w:val="00FB339C"/>
    <w:rsid w:val="00FC02F2"/>
    <w:rsid w:val="00FC2A6E"/>
    <w:rsid w:val="00FC4FA5"/>
    <w:rsid w:val="00FC57C9"/>
    <w:rsid w:val="00FC6F97"/>
    <w:rsid w:val="00FC715E"/>
    <w:rsid w:val="00FD02EC"/>
    <w:rsid w:val="00FD04AB"/>
    <w:rsid w:val="00FD2A03"/>
    <w:rsid w:val="00FD3619"/>
    <w:rsid w:val="00FD59C4"/>
    <w:rsid w:val="00FD616A"/>
    <w:rsid w:val="00FD6744"/>
    <w:rsid w:val="00FD784E"/>
    <w:rsid w:val="00FD7BA3"/>
    <w:rsid w:val="00FE07CE"/>
    <w:rsid w:val="00FE18EA"/>
    <w:rsid w:val="00FE33E2"/>
    <w:rsid w:val="00FE42C7"/>
    <w:rsid w:val="00FF0136"/>
    <w:rsid w:val="00FF01DB"/>
    <w:rsid w:val="00FF1FDB"/>
    <w:rsid w:val="00FF2E27"/>
    <w:rsid w:val="00FF4642"/>
    <w:rsid w:val="00FF596E"/>
    <w:rsid w:val="00FF686E"/>
    <w:rsid w:val="00FF6DBB"/>
    <w:rsid w:val="00FF7854"/>
    <w:rsid w:val="00FF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961D18D"/>
  <w15:docId w15:val="{27FA003D-175A-4E4C-A7C0-7DE569D2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95E"/>
    <w:pPr>
      <w:overflowPunct w:val="0"/>
      <w:autoSpaceDE w:val="0"/>
      <w:autoSpaceDN w:val="0"/>
      <w:adjustRightInd w:val="0"/>
      <w:textAlignment w:val="baseline"/>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4495E"/>
    <w:pPr>
      <w:tabs>
        <w:tab w:val="center" w:pos="4320"/>
        <w:tab w:val="right" w:pos="8640"/>
      </w:tabs>
    </w:pPr>
  </w:style>
  <w:style w:type="character" w:customStyle="1" w:styleId="HeaderChar">
    <w:name w:val="Header Char"/>
    <w:link w:val="Header"/>
    <w:uiPriority w:val="99"/>
    <w:semiHidden/>
    <w:rsid w:val="00905E65"/>
    <w:rPr>
      <w:sz w:val="20"/>
      <w:szCs w:val="20"/>
    </w:rPr>
  </w:style>
  <w:style w:type="paragraph" w:styleId="Footer">
    <w:name w:val="footer"/>
    <w:basedOn w:val="Normal"/>
    <w:link w:val="FooterChar"/>
    <w:uiPriority w:val="99"/>
    <w:rsid w:val="0094495E"/>
    <w:pPr>
      <w:tabs>
        <w:tab w:val="center" w:pos="4320"/>
        <w:tab w:val="right" w:pos="8640"/>
      </w:tabs>
    </w:pPr>
  </w:style>
  <w:style w:type="character" w:customStyle="1" w:styleId="FooterChar">
    <w:name w:val="Footer Char"/>
    <w:link w:val="Footer"/>
    <w:uiPriority w:val="99"/>
    <w:semiHidden/>
    <w:rsid w:val="00905E65"/>
    <w:rPr>
      <w:sz w:val="20"/>
      <w:szCs w:val="20"/>
    </w:rPr>
  </w:style>
  <w:style w:type="paragraph" w:customStyle="1" w:styleId="GenInst">
    <w:name w:val="Gen Inst"/>
    <w:basedOn w:val="Normal"/>
    <w:uiPriority w:val="99"/>
    <w:rsid w:val="009C540A"/>
    <w:pPr>
      <w:overflowPunct/>
      <w:autoSpaceDE/>
      <w:autoSpaceDN/>
      <w:adjustRightInd/>
      <w:spacing w:line="360" w:lineRule="auto"/>
      <w:ind w:left="720"/>
      <w:jc w:val="both"/>
      <w:textAlignment w:val="auto"/>
    </w:pPr>
    <w:rPr>
      <w:sz w:val="24"/>
      <w:szCs w:val="24"/>
    </w:rPr>
  </w:style>
  <w:style w:type="paragraph" w:styleId="FootnoteText">
    <w:name w:val="footnote text"/>
    <w:basedOn w:val="Normal"/>
    <w:link w:val="FootnoteTextChar"/>
    <w:uiPriority w:val="99"/>
    <w:semiHidden/>
    <w:rsid w:val="00517452"/>
  </w:style>
  <w:style w:type="character" w:customStyle="1" w:styleId="FootnoteTextChar">
    <w:name w:val="Footnote Text Char"/>
    <w:link w:val="FootnoteText"/>
    <w:uiPriority w:val="99"/>
    <w:semiHidden/>
    <w:rsid w:val="00905E65"/>
    <w:rPr>
      <w:sz w:val="20"/>
      <w:szCs w:val="20"/>
    </w:rPr>
  </w:style>
  <w:style w:type="character" w:styleId="FootnoteReference">
    <w:name w:val="footnote reference"/>
    <w:uiPriority w:val="99"/>
    <w:semiHidden/>
    <w:rsid w:val="00517452"/>
    <w:rPr>
      <w:vertAlign w:val="superscript"/>
    </w:rPr>
  </w:style>
  <w:style w:type="character" w:styleId="PageNumber">
    <w:name w:val="page number"/>
    <w:basedOn w:val="DefaultParagraphFont"/>
    <w:uiPriority w:val="99"/>
    <w:rsid w:val="0006621B"/>
  </w:style>
  <w:style w:type="paragraph" w:styleId="BalloonText">
    <w:name w:val="Balloon Text"/>
    <w:basedOn w:val="Normal"/>
    <w:link w:val="BalloonTextChar"/>
    <w:uiPriority w:val="99"/>
    <w:semiHidden/>
    <w:unhideWhenUsed/>
    <w:rsid w:val="00912C10"/>
    <w:rPr>
      <w:rFonts w:ascii="Segoe UI" w:hAnsi="Segoe UI" w:cs="Segoe UI"/>
      <w:sz w:val="18"/>
      <w:szCs w:val="18"/>
    </w:rPr>
  </w:style>
  <w:style w:type="character" w:customStyle="1" w:styleId="BalloonTextChar">
    <w:name w:val="Balloon Text Char"/>
    <w:link w:val="BalloonText"/>
    <w:uiPriority w:val="99"/>
    <w:semiHidden/>
    <w:rsid w:val="00912C10"/>
    <w:rPr>
      <w:rFonts w:ascii="Segoe UI" w:hAnsi="Segoe UI" w:cs="Segoe UI"/>
      <w:sz w:val="18"/>
      <w:szCs w:val="18"/>
    </w:rPr>
  </w:style>
  <w:style w:type="character" w:styleId="Hyperlink">
    <w:name w:val="Hyperlink"/>
    <w:uiPriority w:val="99"/>
    <w:unhideWhenUsed/>
    <w:rsid w:val="00A800CF"/>
    <w:rPr>
      <w:color w:val="0000FF"/>
      <w:u w:val="single"/>
    </w:rPr>
  </w:style>
  <w:style w:type="table" w:styleId="TableGrid">
    <w:name w:val="Table Grid"/>
    <w:basedOn w:val="TableNormal"/>
    <w:uiPriority w:val="39"/>
    <w:locked/>
    <w:rsid w:val="00BD19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BE0F78"/>
    <w:rPr>
      <w:sz w:val="16"/>
      <w:szCs w:val="16"/>
    </w:rPr>
  </w:style>
  <w:style w:type="paragraph" w:styleId="CommentText">
    <w:name w:val="annotation text"/>
    <w:basedOn w:val="Normal"/>
    <w:link w:val="CommentTextChar"/>
    <w:uiPriority w:val="99"/>
    <w:semiHidden/>
    <w:unhideWhenUsed/>
    <w:rsid w:val="00BE0F78"/>
  </w:style>
  <w:style w:type="character" w:customStyle="1" w:styleId="CommentTextChar">
    <w:name w:val="Comment Text Char"/>
    <w:basedOn w:val="DefaultParagraphFont"/>
    <w:link w:val="CommentText"/>
    <w:uiPriority w:val="99"/>
    <w:semiHidden/>
    <w:rsid w:val="00BE0F78"/>
  </w:style>
  <w:style w:type="paragraph" w:styleId="CommentSubject">
    <w:name w:val="annotation subject"/>
    <w:basedOn w:val="CommentText"/>
    <w:next w:val="CommentText"/>
    <w:link w:val="CommentSubjectChar"/>
    <w:uiPriority w:val="99"/>
    <w:semiHidden/>
    <w:unhideWhenUsed/>
    <w:rsid w:val="00BE0F78"/>
    <w:rPr>
      <w:b/>
      <w:bCs/>
    </w:rPr>
  </w:style>
  <w:style w:type="character" w:customStyle="1" w:styleId="CommentSubjectChar">
    <w:name w:val="Comment Subject Char"/>
    <w:link w:val="CommentSubject"/>
    <w:uiPriority w:val="99"/>
    <w:semiHidden/>
    <w:rsid w:val="00BE0F78"/>
    <w:rPr>
      <w:b/>
      <w:bCs/>
    </w:rPr>
  </w:style>
  <w:style w:type="character" w:styleId="FollowedHyperlink">
    <w:name w:val="FollowedHyperlink"/>
    <w:uiPriority w:val="99"/>
    <w:semiHidden/>
    <w:unhideWhenUsed/>
    <w:rsid w:val="00C96B34"/>
    <w:rPr>
      <w:color w:val="800080"/>
      <w:u w:val="single"/>
    </w:rPr>
  </w:style>
  <w:style w:type="paragraph" w:styleId="Revision">
    <w:name w:val="Revision"/>
    <w:hidden/>
    <w:uiPriority w:val="99"/>
    <w:semiHidden/>
    <w:rsid w:val="00D969EC"/>
  </w:style>
  <w:style w:type="paragraph" w:styleId="ListParagraph">
    <w:name w:val="List Paragraph"/>
    <w:basedOn w:val="Normal"/>
    <w:uiPriority w:val="34"/>
    <w:qFormat/>
    <w:rsid w:val="000F747B"/>
    <w:pPr>
      <w:ind w:left="720"/>
    </w:pPr>
  </w:style>
  <w:style w:type="paragraph" w:customStyle="1" w:styleId="xxmsonormal">
    <w:name w:val="x_x_msonormal"/>
    <w:basedOn w:val="Normal"/>
    <w:rsid w:val="000F2DE8"/>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053676">
      <w:marLeft w:val="0"/>
      <w:marRight w:val="0"/>
      <w:marTop w:val="0"/>
      <w:marBottom w:val="0"/>
      <w:divBdr>
        <w:top w:val="none" w:sz="0" w:space="0" w:color="auto"/>
        <w:left w:val="none" w:sz="0" w:space="0" w:color="auto"/>
        <w:bottom w:val="none" w:sz="0" w:space="0" w:color="auto"/>
        <w:right w:val="none" w:sz="0" w:space="0" w:color="auto"/>
      </w:divBdr>
    </w:div>
    <w:div w:id="916550624">
      <w:bodyDiv w:val="1"/>
      <w:marLeft w:val="0"/>
      <w:marRight w:val="0"/>
      <w:marTop w:val="0"/>
      <w:marBottom w:val="0"/>
      <w:divBdr>
        <w:top w:val="none" w:sz="0" w:space="0" w:color="auto"/>
        <w:left w:val="none" w:sz="0" w:space="0" w:color="auto"/>
        <w:bottom w:val="none" w:sz="0" w:space="0" w:color="auto"/>
        <w:right w:val="none" w:sz="0" w:space="0" w:color="auto"/>
      </w:divBdr>
    </w:div>
    <w:div w:id="953055000">
      <w:bodyDiv w:val="1"/>
      <w:marLeft w:val="0"/>
      <w:marRight w:val="0"/>
      <w:marTop w:val="0"/>
      <w:marBottom w:val="0"/>
      <w:divBdr>
        <w:top w:val="none" w:sz="0" w:space="0" w:color="auto"/>
        <w:left w:val="none" w:sz="0" w:space="0" w:color="auto"/>
        <w:bottom w:val="none" w:sz="0" w:space="0" w:color="auto"/>
        <w:right w:val="none" w:sz="0" w:space="0" w:color="auto"/>
      </w:divBdr>
    </w:div>
    <w:div w:id="1047685924">
      <w:bodyDiv w:val="1"/>
      <w:marLeft w:val="0"/>
      <w:marRight w:val="0"/>
      <w:marTop w:val="0"/>
      <w:marBottom w:val="0"/>
      <w:divBdr>
        <w:top w:val="none" w:sz="0" w:space="0" w:color="auto"/>
        <w:left w:val="none" w:sz="0" w:space="0" w:color="auto"/>
        <w:bottom w:val="none" w:sz="0" w:space="0" w:color="auto"/>
        <w:right w:val="none" w:sz="0" w:space="0" w:color="auto"/>
      </w:divBdr>
    </w:div>
    <w:div w:id="1197427495">
      <w:bodyDiv w:val="1"/>
      <w:marLeft w:val="0"/>
      <w:marRight w:val="0"/>
      <w:marTop w:val="0"/>
      <w:marBottom w:val="0"/>
      <w:divBdr>
        <w:top w:val="none" w:sz="0" w:space="0" w:color="auto"/>
        <w:left w:val="none" w:sz="0" w:space="0" w:color="auto"/>
        <w:bottom w:val="none" w:sz="0" w:space="0" w:color="auto"/>
        <w:right w:val="none" w:sz="0" w:space="0" w:color="auto"/>
      </w:divBdr>
    </w:div>
    <w:div w:id="1471362198">
      <w:bodyDiv w:val="1"/>
      <w:marLeft w:val="0"/>
      <w:marRight w:val="0"/>
      <w:marTop w:val="0"/>
      <w:marBottom w:val="0"/>
      <w:divBdr>
        <w:top w:val="none" w:sz="0" w:space="0" w:color="auto"/>
        <w:left w:val="none" w:sz="0" w:space="0" w:color="auto"/>
        <w:bottom w:val="none" w:sz="0" w:space="0" w:color="auto"/>
        <w:right w:val="none" w:sz="0" w:space="0" w:color="auto"/>
      </w:divBdr>
    </w:div>
    <w:div w:id="2141263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519EE-BD93-4CB8-9127-68653C6D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774</Words>
  <Characters>4144</Characters>
  <Application>Microsoft Office Word</Application>
  <DocSecurity>4</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Darryl</dc:creator>
  <cp:keywords/>
  <dc:description/>
  <cp:lastModifiedBy>Dylan King</cp:lastModifiedBy>
  <cp:revision>2</cp:revision>
  <cp:lastPrinted>2024-11-21T17:21:00Z</cp:lastPrinted>
  <dcterms:created xsi:type="dcterms:W3CDTF">2024-11-22T18:10:00Z</dcterms:created>
  <dcterms:modified xsi:type="dcterms:W3CDTF">2024-11-22T18:10:00Z</dcterms:modified>
</cp:coreProperties>
</file>